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C7D2" w14:textId="6FC66081" w:rsidR="00B11919" w:rsidRDefault="00537E44">
      <w:pPr>
        <w:rPr>
          <w:color w:val="767171" w:themeColor="background2" w:themeShade="80"/>
          <w:sz w:val="24"/>
          <w:szCs w:val="32"/>
        </w:rPr>
      </w:pPr>
      <w:r>
        <w:rPr>
          <w:color w:val="767171" w:themeColor="background2" w:themeShade="80"/>
          <w:sz w:val="24"/>
          <w:szCs w:val="32"/>
        </w:rPr>
        <w:t>21 January 2022</w:t>
      </w:r>
    </w:p>
    <w:p w14:paraId="2871378A" w14:textId="77777777" w:rsidR="00537E44" w:rsidRDefault="00537E44">
      <w:pPr>
        <w:rPr>
          <w:color w:val="767171" w:themeColor="background2" w:themeShade="80"/>
          <w:sz w:val="24"/>
          <w:szCs w:val="32"/>
        </w:rPr>
      </w:pPr>
    </w:p>
    <w:p w14:paraId="06D3A021" w14:textId="5147E1B5" w:rsidR="00B11919" w:rsidRDefault="007E6321">
      <w:pPr>
        <w:spacing w:line="360" w:lineRule="auto"/>
        <w:rPr>
          <w:rFonts w:cstheme="minorHAnsi"/>
          <w:b/>
          <w:bCs/>
          <w:color w:val="767171" w:themeColor="background2" w:themeShade="80"/>
          <w:sz w:val="28"/>
          <w:szCs w:val="28"/>
        </w:rPr>
      </w:pPr>
      <w:r>
        <w:rPr>
          <w:rFonts w:cstheme="minorHAnsi"/>
          <w:b/>
          <w:bCs/>
          <w:color w:val="767171" w:themeColor="background2" w:themeShade="80"/>
          <w:sz w:val="28"/>
          <w:szCs w:val="28"/>
        </w:rPr>
        <w:t xml:space="preserve">BSEF RESPONSE TO THE </w:t>
      </w:r>
      <w:r w:rsidR="00537E44" w:rsidRPr="00537E44">
        <w:rPr>
          <w:rFonts w:cstheme="minorHAnsi"/>
          <w:b/>
          <w:bCs/>
          <w:color w:val="767171" w:themeColor="background2" w:themeShade="80"/>
          <w:sz w:val="28"/>
          <w:szCs w:val="28"/>
        </w:rPr>
        <w:t xml:space="preserve">NORDIC COUNCIL OF </w:t>
      </w:r>
      <w:r w:rsidR="00AB0F52" w:rsidRPr="00537E44">
        <w:rPr>
          <w:rFonts w:cstheme="minorHAnsi"/>
          <w:b/>
          <w:bCs/>
          <w:color w:val="767171" w:themeColor="background2" w:themeShade="80"/>
          <w:sz w:val="28"/>
          <w:szCs w:val="28"/>
        </w:rPr>
        <w:t>MINISTERS REPORT</w:t>
      </w:r>
      <w:r>
        <w:rPr>
          <w:rFonts w:cstheme="minorHAnsi"/>
          <w:b/>
          <w:bCs/>
          <w:color w:val="767171" w:themeColor="background2" w:themeShade="80"/>
          <w:sz w:val="28"/>
          <w:szCs w:val="28"/>
        </w:rPr>
        <w:t xml:space="preserve"> “CIRCULAR PLASTICS IN ELECTRICAL AND ELECTRONIC EQUIPMENT” </w:t>
      </w:r>
    </w:p>
    <w:p w14:paraId="7FB2C77C" w14:textId="77777777" w:rsidR="00B11919" w:rsidRDefault="00B11919">
      <w:pPr>
        <w:spacing w:line="360" w:lineRule="auto"/>
        <w:rPr>
          <w:rFonts w:cstheme="minorHAnsi"/>
          <w:color w:val="767171" w:themeColor="background2" w:themeShade="80"/>
          <w:sz w:val="22"/>
          <w:szCs w:val="22"/>
        </w:rPr>
      </w:pPr>
    </w:p>
    <w:p w14:paraId="089BD46A" w14:textId="71915EE8"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On the 3</w:t>
      </w:r>
      <w:r>
        <w:rPr>
          <w:rFonts w:cstheme="minorHAnsi"/>
          <w:color w:val="767171" w:themeColor="background2" w:themeShade="80"/>
          <w:sz w:val="22"/>
          <w:szCs w:val="22"/>
          <w:vertAlign w:val="superscript"/>
        </w:rPr>
        <w:t>rd</w:t>
      </w:r>
      <w:r>
        <w:rPr>
          <w:rFonts w:cstheme="minorHAnsi"/>
          <w:color w:val="767171" w:themeColor="background2" w:themeShade="80"/>
          <w:sz w:val="22"/>
          <w:szCs w:val="22"/>
        </w:rPr>
        <w:t xml:space="preserve"> of January 2022</w:t>
      </w:r>
      <w:r w:rsidR="00EF7251">
        <w:rPr>
          <w:rFonts w:cstheme="minorHAnsi"/>
          <w:color w:val="767171" w:themeColor="background2" w:themeShade="80"/>
          <w:sz w:val="22"/>
          <w:szCs w:val="22"/>
        </w:rPr>
        <w:t>,</w:t>
      </w:r>
      <w:r>
        <w:rPr>
          <w:rFonts w:cstheme="minorHAnsi"/>
          <w:color w:val="767171" w:themeColor="background2" w:themeShade="80"/>
          <w:sz w:val="22"/>
          <w:szCs w:val="22"/>
        </w:rPr>
        <w:t xml:space="preserve"> the Nordic Council of Ministers issued a report on recyclable plastic components in electrical and electronic products </w:t>
      </w:r>
      <w:r w:rsidR="00537E44">
        <w:rPr>
          <w:rFonts w:cstheme="minorHAnsi"/>
          <w:color w:val="767171" w:themeColor="background2" w:themeShade="80"/>
          <w:sz w:val="22"/>
          <w:szCs w:val="22"/>
        </w:rPr>
        <w:t xml:space="preserve">with </w:t>
      </w:r>
      <w:r>
        <w:rPr>
          <w:rFonts w:cstheme="minorHAnsi"/>
          <w:color w:val="767171" w:themeColor="background2" w:themeShade="80"/>
          <w:sz w:val="22"/>
          <w:szCs w:val="22"/>
        </w:rPr>
        <w:t>the title “</w:t>
      </w:r>
      <w:r>
        <w:rPr>
          <w:rFonts w:cstheme="minorHAnsi"/>
          <w:b/>
          <w:bCs/>
          <w:color w:val="767171" w:themeColor="background2" w:themeShade="80"/>
          <w:sz w:val="22"/>
          <w:szCs w:val="22"/>
        </w:rPr>
        <w:t>Circular plastics in electrical and electronic equipment”</w:t>
      </w:r>
      <w:r>
        <w:rPr>
          <w:rStyle w:val="FootnoteReference"/>
          <w:rFonts w:cstheme="minorHAnsi"/>
          <w:b/>
          <w:bCs/>
          <w:color w:val="767171" w:themeColor="background2" w:themeShade="80"/>
          <w:sz w:val="22"/>
          <w:szCs w:val="22"/>
        </w:rPr>
        <w:footnoteReference w:id="2"/>
      </w:r>
      <w:r>
        <w:rPr>
          <w:rFonts w:cstheme="minorHAnsi"/>
          <w:b/>
          <w:bCs/>
          <w:color w:val="767171" w:themeColor="background2" w:themeShade="80"/>
          <w:sz w:val="22"/>
          <w:szCs w:val="22"/>
        </w:rPr>
        <w:t>.</w:t>
      </w:r>
      <w:r>
        <w:rPr>
          <w:rFonts w:cstheme="minorHAnsi"/>
          <w:color w:val="767171" w:themeColor="background2" w:themeShade="80"/>
          <w:sz w:val="22"/>
          <w:szCs w:val="22"/>
        </w:rPr>
        <w:t xml:space="preserve"> </w:t>
      </w:r>
      <w:r w:rsidR="00630BF7">
        <w:rPr>
          <w:rFonts w:cstheme="minorHAnsi"/>
          <w:color w:val="767171" w:themeColor="background2" w:themeShade="80"/>
          <w:sz w:val="22"/>
          <w:szCs w:val="22"/>
        </w:rPr>
        <w:t>T</w:t>
      </w:r>
      <w:r w:rsidR="00630BF7" w:rsidRPr="00630BF7">
        <w:rPr>
          <w:rFonts w:cstheme="minorHAnsi"/>
          <w:color w:val="767171" w:themeColor="background2" w:themeShade="80"/>
          <w:sz w:val="22"/>
          <w:szCs w:val="22"/>
        </w:rPr>
        <w:t xml:space="preserve">he report presents an inaccurate portrayal of </w:t>
      </w:r>
      <w:r w:rsidR="00060DE6">
        <w:rPr>
          <w:rFonts w:cstheme="minorHAnsi"/>
          <w:color w:val="767171" w:themeColor="background2" w:themeShade="80"/>
          <w:sz w:val="22"/>
          <w:szCs w:val="22"/>
        </w:rPr>
        <w:t xml:space="preserve">waste from </w:t>
      </w:r>
      <w:r w:rsidR="00060DE6" w:rsidRPr="00060DE6">
        <w:rPr>
          <w:rFonts w:cstheme="minorHAnsi"/>
          <w:color w:val="767171" w:themeColor="background2" w:themeShade="80"/>
          <w:sz w:val="22"/>
          <w:szCs w:val="22"/>
        </w:rPr>
        <w:t>electrical and electronic equipment (</w:t>
      </w:r>
      <w:r w:rsidR="00060DE6">
        <w:rPr>
          <w:rFonts w:cstheme="minorHAnsi"/>
          <w:color w:val="767171" w:themeColor="background2" w:themeShade="80"/>
          <w:sz w:val="22"/>
          <w:szCs w:val="22"/>
        </w:rPr>
        <w:t>W</w:t>
      </w:r>
      <w:r w:rsidR="00060DE6" w:rsidRPr="00060DE6">
        <w:rPr>
          <w:rFonts w:cstheme="minorHAnsi"/>
          <w:color w:val="767171" w:themeColor="background2" w:themeShade="80"/>
          <w:sz w:val="22"/>
          <w:szCs w:val="22"/>
        </w:rPr>
        <w:t xml:space="preserve">EEE). </w:t>
      </w:r>
      <w:r w:rsidR="00630BF7">
        <w:rPr>
          <w:rFonts w:cstheme="minorHAnsi"/>
          <w:color w:val="767171" w:themeColor="background2" w:themeShade="80"/>
          <w:sz w:val="22"/>
          <w:szCs w:val="22"/>
        </w:rPr>
        <w:t>WEEE</w:t>
      </w:r>
      <w:r w:rsidR="00630BF7" w:rsidRPr="00630BF7">
        <w:rPr>
          <w:rFonts w:cstheme="minorHAnsi"/>
          <w:color w:val="767171" w:themeColor="background2" w:themeShade="80"/>
          <w:sz w:val="22"/>
          <w:szCs w:val="22"/>
        </w:rPr>
        <w:t xml:space="preserve"> recycling and the impact of flame retardants”</w:t>
      </w:r>
      <w:r w:rsidR="00630BF7">
        <w:rPr>
          <w:rFonts w:cstheme="minorHAnsi"/>
          <w:color w:val="767171" w:themeColor="background2" w:themeShade="80"/>
          <w:sz w:val="22"/>
          <w:szCs w:val="22"/>
        </w:rPr>
        <w:t xml:space="preserve"> by concluding</w:t>
      </w:r>
      <w:r>
        <w:rPr>
          <w:rFonts w:cstheme="minorHAnsi"/>
          <w:color w:val="767171" w:themeColor="background2" w:themeShade="80"/>
          <w:sz w:val="22"/>
          <w:szCs w:val="22"/>
        </w:rPr>
        <w:t xml:space="preserve"> that Brominated Flame Retardants</w:t>
      </w:r>
      <w:r w:rsidR="00537E44">
        <w:rPr>
          <w:rFonts w:cstheme="minorHAnsi"/>
          <w:color w:val="767171" w:themeColor="background2" w:themeShade="80"/>
          <w:sz w:val="22"/>
          <w:szCs w:val="22"/>
        </w:rPr>
        <w:t xml:space="preserve"> (BFRs)</w:t>
      </w:r>
      <w:r>
        <w:rPr>
          <w:rFonts w:cstheme="minorHAnsi"/>
          <w:color w:val="767171" w:themeColor="background2" w:themeShade="80"/>
          <w:sz w:val="22"/>
          <w:szCs w:val="22"/>
        </w:rPr>
        <w:t xml:space="preserve"> should be designed out of products </w:t>
      </w:r>
      <w:proofErr w:type="gramStart"/>
      <w:r>
        <w:rPr>
          <w:rFonts w:cstheme="minorHAnsi"/>
          <w:color w:val="767171" w:themeColor="background2" w:themeShade="80"/>
          <w:sz w:val="22"/>
          <w:szCs w:val="22"/>
        </w:rPr>
        <w:t>in order to</w:t>
      </w:r>
      <w:proofErr w:type="gramEnd"/>
      <w:r>
        <w:rPr>
          <w:rFonts w:cstheme="minorHAnsi"/>
          <w:color w:val="767171" w:themeColor="background2" w:themeShade="80"/>
          <w:sz w:val="22"/>
          <w:szCs w:val="22"/>
        </w:rPr>
        <w:t xml:space="preserve"> support the recycling of plastics from EEE. </w:t>
      </w:r>
    </w:p>
    <w:p w14:paraId="5D309D6E" w14:textId="77777777" w:rsidR="00B11919" w:rsidRDefault="00B11919">
      <w:pPr>
        <w:spacing w:line="360" w:lineRule="auto"/>
        <w:rPr>
          <w:rFonts w:cstheme="minorHAnsi"/>
          <w:color w:val="767171" w:themeColor="background2" w:themeShade="80"/>
          <w:sz w:val="22"/>
          <w:szCs w:val="22"/>
        </w:rPr>
      </w:pPr>
    </w:p>
    <w:p w14:paraId="2D146445" w14:textId="4F89F0D4"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 xml:space="preserve">BSEF, The International Bromine Council, refuses these allegations. In contradiction to the report by the Nordic Council of Ministers, </w:t>
      </w:r>
      <w:r w:rsidR="00537E44" w:rsidRPr="00537E44">
        <w:rPr>
          <w:rFonts w:cstheme="minorHAnsi"/>
          <w:color w:val="767171" w:themeColor="background2" w:themeShade="80"/>
          <w:sz w:val="22"/>
          <w:szCs w:val="22"/>
        </w:rPr>
        <w:t>BFRs</w:t>
      </w:r>
      <w:r w:rsidR="00EF7251">
        <w:rPr>
          <w:rFonts w:cstheme="minorHAnsi"/>
          <w:color w:val="767171" w:themeColor="background2" w:themeShade="80"/>
          <w:sz w:val="22"/>
          <w:szCs w:val="22"/>
        </w:rPr>
        <w:t xml:space="preserve"> on the market</w:t>
      </w:r>
      <w:r w:rsidR="00537E44" w:rsidRPr="00537E44">
        <w:rPr>
          <w:rFonts w:cstheme="minorHAnsi"/>
          <w:color w:val="767171" w:themeColor="background2" w:themeShade="80"/>
          <w:sz w:val="22"/>
          <w:szCs w:val="22"/>
        </w:rPr>
        <w:t xml:space="preserve"> </w:t>
      </w:r>
      <w:r>
        <w:rPr>
          <w:rFonts w:cstheme="minorHAnsi"/>
          <w:color w:val="767171" w:themeColor="background2" w:themeShade="80"/>
          <w:sz w:val="22"/>
          <w:szCs w:val="22"/>
        </w:rPr>
        <w:t xml:space="preserve">are not hindering the recycling of WEEE plastics and are safe for use in accordance with the REACH regulation.  </w:t>
      </w:r>
    </w:p>
    <w:p w14:paraId="025786B5" w14:textId="77777777" w:rsidR="00B11919" w:rsidRDefault="00B11919">
      <w:pPr>
        <w:spacing w:line="360" w:lineRule="auto"/>
        <w:rPr>
          <w:rFonts w:cstheme="minorHAnsi"/>
          <w:color w:val="767171" w:themeColor="background2" w:themeShade="80"/>
          <w:sz w:val="22"/>
          <w:szCs w:val="22"/>
        </w:rPr>
      </w:pPr>
    </w:p>
    <w:p w14:paraId="72D786D9"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r>
        <w:rPr>
          <w:rFonts w:asciiTheme="minorHAnsi" w:hAnsiTheme="minorHAnsi" w:cstheme="minorHAnsi"/>
          <w:b/>
          <w:bCs/>
          <w:color w:val="767171" w:themeColor="background2" w:themeShade="80"/>
          <w:sz w:val="22"/>
          <w:szCs w:val="22"/>
        </w:rPr>
        <w:t xml:space="preserve">THE IMPORTANCE OF FLAME RETARDANTS IN ELECTRONIC APPLIANCES </w:t>
      </w:r>
    </w:p>
    <w:p w14:paraId="515D1C68"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7C17AFFF" w14:textId="39F56631"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Electronic and electrical equipment uses plastics to make products lighter, more innovative, and cost effective.  </w:t>
      </w:r>
      <w:r w:rsidRPr="005F3F03">
        <w:rPr>
          <w:rFonts w:asciiTheme="minorHAnsi" w:hAnsiTheme="minorHAnsi" w:cstheme="minorHAnsi"/>
          <w:color w:val="767171" w:themeColor="background2" w:themeShade="80"/>
          <w:sz w:val="22"/>
          <w:szCs w:val="22"/>
        </w:rPr>
        <w:t>BFRs</w:t>
      </w:r>
      <w:r>
        <w:rPr>
          <w:rFonts w:asciiTheme="minorHAnsi" w:hAnsiTheme="minorHAnsi" w:cstheme="minorHAnsi"/>
          <w:color w:val="767171" w:themeColor="background2" w:themeShade="80"/>
          <w:sz w:val="22"/>
          <w:szCs w:val="22"/>
        </w:rPr>
        <w:t xml:space="preserve"> are substances that change the nature of combustible plastic materials used in </w:t>
      </w:r>
      <w:r w:rsidR="00EF7251">
        <w:rPr>
          <w:rFonts w:asciiTheme="minorHAnsi" w:hAnsiTheme="minorHAnsi" w:cstheme="minorHAnsi"/>
          <w:color w:val="767171" w:themeColor="background2" w:themeShade="80"/>
          <w:sz w:val="22"/>
          <w:szCs w:val="22"/>
        </w:rPr>
        <w:t>EEE</w:t>
      </w:r>
      <w:r>
        <w:rPr>
          <w:rFonts w:asciiTheme="minorHAnsi" w:hAnsiTheme="minorHAnsi" w:cstheme="minorHAnsi"/>
          <w:color w:val="767171" w:themeColor="background2" w:themeShade="80"/>
          <w:sz w:val="22"/>
          <w:szCs w:val="22"/>
        </w:rPr>
        <w:t xml:space="preserve"> making them more </w:t>
      </w:r>
      <w:r w:rsidR="00F64F9E">
        <w:rPr>
          <w:rFonts w:asciiTheme="minorHAnsi" w:hAnsiTheme="minorHAnsi" w:cstheme="minorHAnsi"/>
          <w:color w:val="767171" w:themeColor="background2" w:themeShade="80"/>
          <w:sz w:val="22"/>
          <w:szCs w:val="22"/>
        </w:rPr>
        <w:t xml:space="preserve">fire </w:t>
      </w:r>
      <w:r>
        <w:rPr>
          <w:rFonts w:asciiTheme="minorHAnsi" w:hAnsiTheme="minorHAnsi" w:cstheme="minorHAnsi"/>
          <w:color w:val="767171" w:themeColor="background2" w:themeShade="80"/>
          <w:sz w:val="22"/>
          <w:szCs w:val="22"/>
        </w:rPr>
        <w:t>ignition resistant.</w:t>
      </w:r>
      <w:r>
        <w:rPr>
          <w:rStyle w:val="FootnoteReference"/>
          <w:rFonts w:asciiTheme="minorHAnsi" w:hAnsiTheme="minorHAnsi" w:cstheme="minorHAnsi"/>
          <w:color w:val="767171" w:themeColor="background2" w:themeShade="80"/>
          <w:sz w:val="22"/>
          <w:szCs w:val="22"/>
        </w:rPr>
        <w:footnoteReference w:id="3"/>
      </w:r>
      <w:r>
        <w:rPr>
          <w:rFonts w:asciiTheme="minorHAnsi" w:hAnsiTheme="minorHAnsi" w:cstheme="minorHAnsi"/>
          <w:color w:val="767171" w:themeColor="background2" w:themeShade="80"/>
          <w:sz w:val="22"/>
          <w:szCs w:val="22"/>
        </w:rPr>
        <w:t>  </w:t>
      </w:r>
      <w:r>
        <w:rPr>
          <w:rStyle w:val="Strong"/>
          <w:rFonts w:asciiTheme="minorHAnsi" w:hAnsiTheme="minorHAnsi" w:cstheme="minorHAnsi"/>
          <w:color w:val="767171" w:themeColor="background2" w:themeShade="80"/>
          <w:sz w:val="22"/>
          <w:szCs w:val="22"/>
          <w:bdr w:val="none" w:sz="0" w:space="0" w:color="auto" w:frame="1"/>
        </w:rPr>
        <w:t>In most products they primarily stop fires from starting – No Ignition No Fire.</w:t>
      </w:r>
      <w:r>
        <w:rPr>
          <w:rFonts w:asciiTheme="minorHAnsi" w:hAnsiTheme="minorHAnsi" w:cstheme="minorHAnsi"/>
          <w:color w:val="767171" w:themeColor="background2" w:themeShade="80"/>
          <w:sz w:val="22"/>
          <w:szCs w:val="22"/>
        </w:rPr>
        <w:t xml:space="preserve">  BFRs are often used in EEE plastics to meet fire safety standards and protect consumers from accidental fires. Their value should not be dismissed as they play </w:t>
      </w:r>
      <w:proofErr w:type="spellStart"/>
      <w:proofErr w:type="gramStart"/>
      <w:r>
        <w:rPr>
          <w:rFonts w:asciiTheme="minorHAnsi" w:hAnsiTheme="minorHAnsi" w:cstheme="minorHAnsi"/>
          <w:color w:val="767171" w:themeColor="background2" w:themeShade="80"/>
          <w:sz w:val="22"/>
          <w:szCs w:val="22"/>
        </w:rPr>
        <w:t>a</w:t>
      </w:r>
      <w:proofErr w:type="spellEnd"/>
      <w:proofErr w:type="gramEnd"/>
      <w:r>
        <w:rPr>
          <w:rFonts w:asciiTheme="minorHAnsi" w:hAnsiTheme="minorHAnsi" w:cstheme="minorHAnsi"/>
          <w:color w:val="767171" w:themeColor="background2" w:themeShade="80"/>
          <w:sz w:val="22"/>
          <w:szCs w:val="22"/>
        </w:rPr>
        <w:t xml:space="preserve"> </w:t>
      </w:r>
      <w:r w:rsidR="00F64F9E">
        <w:rPr>
          <w:rFonts w:asciiTheme="minorHAnsi" w:hAnsiTheme="minorHAnsi" w:cstheme="minorHAnsi"/>
          <w:color w:val="767171" w:themeColor="background2" w:themeShade="80"/>
          <w:sz w:val="22"/>
          <w:szCs w:val="22"/>
        </w:rPr>
        <w:t xml:space="preserve">essential </w:t>
      </w:r>
      <w:r>
        <w:rPr>
          <w:rFonts w:asciiTheme="minorHAnsi" w:hAnsiTheme="minorHAnsi" w:cstheme="minorHAnsi"/>
          <w:color w:val="767171" w:themeColor="background2" w:themeShade="80"/>
          <w:sz w:val="22"/>
          <w:szCs w:val="22"/>
        </w:rPr>
        <w:t xml:space="preserve">role </w:t>
      </w:r>
      <w:r w:rsidR="00836814">
        <w:rPr>
          <w:rFonts w:asciiTheme="minorHAnsi" w:hAnsiTheme="minorHAnsi" w:cstheme="minorHAnsi"/>
          <w:color w:val="767171" w:themeColor="background2" w:themeShade="80"/>
          <w:sz w:val="22"/>
          <w:szCs w:val="22"/>
        </w:rPr>
        <w:t xml:space="preserve">in </w:t>
      </w:r>
      <w:r>
        <w:rPr>
          <w:rFonts w:asciiTheme="minorHAnsi" w:hAnsiTheme="minorHAnsi" w:cstheme="minorHAnsi"/>
          <w:color w:val="767171" w:themeColor="background2" w:themeShade="80"/>
          <w:sz w:val="22"/>
          <w:szCs w:val="22"/>
        </w:rPr>
        <w:t>Fire Safety in Europe</w:t>
      </w:r>
      <w:r>
        <w:rPr>
          <w:rStyle w:val="FootnoteReference"/>
          <w:rFonts w:asciiTheme="minorHAnsi" w:hAnsiTheme="minorHAnsi" w:cstheme="minorHAnsi"/>
          <w:color w:val="767171" w:themeColor="background2" w:themeShade="80"/>
          <w:sz w:val="22"/>
          <w:szCs w:val="22"/>
        </w:rPr>
        <w:footnoteReference w:id="4"/>
      </w:r>
      <w:r>
        <w:rPr>
          <w:rFonts w:asciiTheme="minorHAnsi" w:hAnsiTheme="minorHAnsi" w:cstheme="minorHAnsi"/>
          <w:color w:val="767171" w:themeColor="background2" w:themeShade="80"/>
          <w:sz w:val="22"/>
          <w:szCs w:val="22"/>
        </w:rPr>
        <w:t xml:space="preserve">. </w:t>
      </w:r>
    </w:p>
    <w:p w14:paraId="33C7D142"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13B3A220" w14:textId="33E93499" w:rsidR="00B11919" w:rsidRDefault="007E6321">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For example, televisions were the first ‘modern’ electrical appliances to be found in virtually every home. Although the plastic in the average LCD TV has the same potential to generate the heat as six </w:t>
      </w:r>
      <w:proofErr w:type="spellStart"/>
      <w:r>
        <w:rPr>
          <w:rFonts w:asciiTheme="minorHAnsi" w:hAnsiTheme="minorHAnsi" w:cstheme="minorHAnsi"/>
          <w:color w:val="767171" w:themeColor="background2" w:themeShade="80"/>
          <w:sz w:val="22"/>
          <w:szCs w:val="22"/>
        </w:rPr>
        <w:t>litres</w:t>
      </w:r>
      <w:proofErr w:type="spellEnd"/>
      <w:r>
        <w:rPr>
          <w:rFonts w:asciiTheme="minorHAnsi" w:hAnsiTheme="minorHAnsi" w:cstheme="minorHAnsi"/>
          <w:color w:val="767171" w:themeColor="background2" w:themeShade="80"/>
          <w:sz w:val="22"/>
          <w:szCs w:val="22"/>
        </w:rPr>
        <w:t xml:space="preserve"> of petrol, the inclusion of modern flame retardants </w:t>
      </w:r>
      <w:r w:rsidR="00836814">
        <w:rPr>
          <w:rFonts w:asciiTheme="minorHAnsi" w:hAnsiTheme="minorHAnsi" w:cstheme="minorHAnsi"/>
          <w:color w:val="767171" w:themeColor="background2" w:themeShade="80"/>
          <w:sz w:val="22"/>
          <w:szCs w:val="22"/>
        </w:rPr>
        <w:t xml:space="preserve">makes </w:t>
      </w:r>
      <w:r>
        <w:rPr>
          <w:rFonts w:asciiTheme="minorHAnsi" w:hAnsiTheme="minorHAnsi" w:cstheme="minorHAnsi"/>
          <w:color w:val="767171" w:themeColor="background2" w:themeShade="80"/>
          <w:sz w:val="22"/>
          <w:szCs w:val="22"/>
        </w:rPr>
        <w:t xml:space="preserve">them </w:t>
      </w:r>
      <w:r w:rsidR="00F64F9E">
        <w:rPr>
          <w:rFonts w:asciiTheme="minorHAnsi" w:hAnsiTheme="minorHAnsi" w:cstheme="minorHAnsi"/>
          <w:color w:val="767171" w:themeColor="background2" w:themeShade="80"/>
          <w:sz w:val="22"/>
          <w:szCs w:val="22"/>
        </w:rPr>
        <w:t xml:space="preserve">more fire resistant. </w:t>
      </w:r>
    </w:p>
    <w:p w14:paraId="6D5F749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color w:val="767171" w:themeColor="background2" w:themeShade="80"/>
          <w:sz w:val="22"/>
          <w:szCs w:val="22"/>
        </w:rPr>
      </w:pPr>
    </w:p>
    <w:p w14:paraId="0208FCA9" w14:textId="77777777" w:rsidR="00B11919" w:rsidRDefault="00B11919">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p>
    <w:p w14:paraId="2DD1823D" w14:textId="77777777" w:rsidR="00B11919" w:rsidRDefault="007E6321">
      <w:pPr>
        <w:pStyle w:val="NormalWeb"/>
        <w:spacing w:before="0" w:beforeAutospacing="0" w:after="0" w:afterAutospacing="0" w:line="360" w:lineRule="auto"/>
        <w:jc w:val="both"/>
        <w:textAlignment w:val="baseline"/>
        <w:rPr>
          <w:rFonts w:asciiTheme="minorHAnsi" w:hAnsiTheme="minorHAnsi" w:cstheme="minorHAnsi"/>
          <w:b/>
          <w:bCs/>
          <w:color w:val="767171" w:themeColor="background2" w:themeShade="80"/>
          <w:sz w:val="22"/>
          <w:szCs w:val="22"/>
        </w:rPr>
      </w:pPr>
      <w:bookmarkStart w:id="0" w:name="_Hlk93345586"/>
      <w:r>
        <w:rPr>
          <w:rFonts w:asciiTheme="minorHAnsi" w:hAnsiTheme="minorHAnsi" w:cstheme="minorHAnsi"/>
          <w:b/>
          <w:bCs/>
          <w:color w:val="767171" w:themeColor="background2" w:themeShade="80"/>
          <w:sz w:val="22"/>
          <w:szCs w:val="22"/>
        </w:rPr>
        <w:t>BROMINATED FLAME RETARDANTS ARE NOT HINDERING THE RECYCLING OF WEEE PLASTICS</w:t>
      </w:r>
    </w:p>
    <w:bookmarkEnd w:id="0"/>
    <w:p w14:paraId="597E2365" w14:textId="77777777" w:rsidR="00B11919" w:rsidRDefault="00B11919">
      <w:pPr>
        <w:spacing w:line="360" w:lineRule="auto"/>
        <w:rPr>
          <w:rFonts w:cstheme="minorHAnsi"/>
          <w:color w:val="767171" w:themeColor="background2" w:themeShade="80"/>
          <w:sz w:val="22"/>
          <w:szCs w:val="22"/>
        </w:rPr>
      </w:pPr>
    </w:p>
    <w:p w14:paraId="5720C43D" w14:textId="351EB1E5" w:rsidR="00B11919" w:rsidRDefault="007E6321">
      <w:pPr>
        <w:spacing w:line="360" w:lineRule="auto"/>
        <w:rPr>
          <w:rFonts w:cstheme="minorHAnsi"/>
          <w:color w:val="767171" w:themeColor="background2" w:themeShade="80"/>
          <w:sz w:val="22"/>
          <w:szCs w:val="22"/>
        </w:rPr>
      </w:pPr>
      <w:r>
        <w:rPr>
          <w:rFonts w:cstheme="minorHAnsi"/>
          <w:color w:val="767171" w:themeColor="background2" w:themeShade="80"/>
          <w:sz w:val="22"/>
          <w:szCs w:val="22"/>
        </w:rPr>
        <w:t>BSEF, The International Bromine Council, released</w:t>
      </w:r>
      <w:r w:rsidR="008C24DA">
        <w:rPr>
          <w:rFonts w:cstheme="minorHAnsi"/>
          <w:color w:val="767171" w:themeColor="background2" w:themeShade="80"/>
          <w:sz w:val="22"/>
          <w:szCs w:val="22"/>
        </w:rPr>
        <w:t xml:space="preserve"> </w:t>
      </w:r>
      <w:r>
        <w:rPr>
          <w:rFonts w:cstheme="minorHAnsi"/>
          <w:color w:val="767171" w:themeColor="background2" w:themeShade="80"/>
          <w:sz w:val="22"/>
          <w:szCs w:val="22"/>
        </w:rPr>
        <w:t>a comprehensive report regarding WEEE</w:t>
      </w:r>
      <w:r w:rsidR="006E1F54">
        <w:rPr>
          <w:rFonts w:cstheme="minorHAnsi"/>
          <w:color w:val="767171" w:themeColor="background2" w:themeShade="80"/>
          <w:sz w:val="22"/>
          <w:szCs w:val="22"/>
        </w:rPr>
        <w:t xml:space="preserve"> (Waste from Electrical &amp; Electronic Equipment)</w:t>
      </w:r>
      <w:r>
        <w:rPr>
          <w:rFonts w:cstheme="minorHAnsi"/>
          <w:color w:val="767171" w:themeColor="background2" w:themeShade="80"/>
          <w:sz w:val="22"/>
          <w:szCs w:val="22"/>
        </w:rPr>
        <w:t xml:space="preserve"> plastics flows and recycling efforts in Europe </w:t>
      </w:r>
      <w:r w:rsidR="008C24DA">
        <w:rPr>
          <w:rFonts w:cstheme="minorHAnsi"/>
          <w:color w:val="767171" w:themeColor="background2" w:themeShade="80"/>
          <w:sz w:val="22"/>
          <w:szCs w:val="22"/>
        </w:rPr>
        <w:t>–</w:t>
      </w:r>
      <w:r>
        <w:rPr>
          <w:rFonts w:cstheme="minorHAnsi"/>
          <w:color w:val="767171" w:themeColor="background2" w:themeShade="80"/>
          <w:sz w:val="22"/>
          <w:szCs w:val="22"/>
        </w:rPr>
        <w:t xml:space="preserve"> </w:t>
      </w:r>
      <w:r w:rsidR="008C24DA">
        <w:rPr>
          <w:rFonts w:cstheme="minorHAnsi"/>
          <w:color w:val="767171" w:themeColor="background2" w:themeShade="80"/>
          <w:sz w:val="22"/>
          <w:szCs w:val="22"/>
        </w:rPr>
        <w:t>‘</w:t>
      </w:r>
      <w:r w:rsidRPr="005F3F03">
        <w:rPr>
          <w:rFonts w:cstheme="minorHAnsi"/>
          <w:i/>
          <w:iCs/>
          <w:color w:val="767171" w:themeColor="background2" w:themeShade="80"/>
          <w:sz w:val="22"/>
          <w:szCs w:val="22"/>
        </w:rPr>
        <w:t>Impact of Brominated Flame Retardants on the Recycling of WEEE plastics</w:t>
      </w:r>
      <w:r w:rsidR="008C24DA">
        <w:rPr>
          <w:rFonts w:cstheme="minorHAnsi"/>
          <w:i/>
          <w:iCs/>
          <w:color w:val="767171" w:themeColor="background2" w:themeShade="80"/>
          <w:sz w:val="22"/>
          <w:szCs w:val="22"/>
        </w:rPr>
        <w:t>’</w:t>
      </w:r>
      <w:r w:rsidR="008C24DA">
        <w:rPr>
          <w:rFonts w:cstheme="minorHAnsi"/>
          <w:color w:val="767171" w:themeColor="background2" w:themeShade="80"/>
          <w:sz w:val="22"/>
          <w:szCs w:val="22"/>
        </w:rPr>
        <w:t xml:space="preserve"> in 2020 </w:t>
      </w:r>
      <w:r>
        <w:rPr>
          <w:rStyle w:val="FootnoteReference"/>
          <w:rFonts w:cstheme="minorHAnsi"/>
          <w:color w:val="767171" w:themeColor="background2" w:themeShade="80"/>
          <w:sz w:val="22"/>
          <w:szCs w:val="22"/>
        </w:rPr>
        <w:footnoteReference w:id="5"/>
      </w:r>
      <w:r>
        <w:rPr>
          <w:rFonts w:cstheme="minorHAnsi"/>
          <w:color w:val="767171" w:themeColor="background2" w:themeShade="80"/>
          <w:sz w:val="22"/>
          <w:szCs w:val="22"/>
        </w:rPr>
        <w:t>.   The report, undertaken by a leading sustainability consultancy, SOFIES, uniquely addresses misperceptions regarding the impact of BFRs on WEEE plastics recycling and presents the successes and overarching challenges in making WEEE plastic streams more circular.</w:t>
      </w:r>
    </w:p>
    <w:p w14:paraId="1F153D3E" w14:textId="77777777" w:rsidR="00B11919" w:rsidRDefault="00B11919">
      <w:pPr>
        <w:spacing w:line="360" w:lineRule="auto"/>
        <w:rPr>
          <w:rFonts w:cstheme="minorHAnsi"/>
          <w:color w:val="767171" w:themeColor="background2" w:themeShade="80"/>
          <w:sz w:val="22"/>
          <w:szCs w:val="22"/>
        </w:rPr>
      </w:pPr>
    </w:p>
    <w:p w14:paraId="0CDB2847"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Approximately </w:t>
      </w:r>
      <w:r>
        <w:rPr>
          <w:rFonts w:eastAsia="Times New Roman" w:cstheme="minorHAnsi"/>
          <w:b/>
          <w:bCs/>
          <w:color w:val="767171" w:themeColor="background2" w:themeShade="80"/>
          <w:sz w:val="22"/>
          <w:szCs w:val="22"/>
          <w:bdr w:val="none" w:sz="0" w:space="0" w:color="auto" w:frame="1"/>
          <w:lang w:val="en-US"/>
        </w:rPr>
        <w:t>2.6 million tons of WEEE plastics are generated annually in Europe</w:t>
      </w:r>
      <w:r>
        <w:rPr>
          <w:rFonts w:eastAsia="Times New Roman" w:cstheme="minorHAnsi"/>
          <w:color w:val="767171" w:themeColor="background2" w:themeShade="80"/>
          <w:sz w:val="22"/>
          <w:szCs w:val="22"/>
          <w:lang w:val="en-US"/>
        </w:rPr>
        <w:t>; Plastic containing BFRs represent about 9% of this total.</w:t>
      </w:r>
    </w:p>
    <w:p w14:paraId="4EA4DA7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Around half of all </w:t>
      </w:r>
      <w:r>
        <w:rPr>
          <w:rFonts w:eastAsia="Times New Roman" w:cstheme="minorHAnsi"/>
          <w:b/>
          <w:bCs/>
          <w:color w:val="767171" w:themeColor="background2" w:themeShade="80"/>
          <w:sz w:val="22"/>
          <w:szCs w:val="22"/>
          <w:bdr w:val="none" w:sz="0" w:space="0" w:color="auto" w:frame="1"/>
          <w:lang w:val="en-US"/>
        </w:rPr>
        <w:t>WEEE plastics generated in Europe do not enter official WEEE collection channels</w:t>
      </w:r>
      <w:r>
        <w:rPr>
          <w:rFonts w:eastAsia="Times New Roman" w:cstheme="minorHAnsi"/>
          <w:color w:val="767171" w:themeColor="background2" w:themeShade="80"/>
          <w:sz w:val="22"/>
          <w:szCs w:val="22"/>
          <w:lang w:val="en-US"/>
        </w:rPr>
        <w:t>, ending up in the waste bin, processed at substandard recycling facilities, or exported outside Europe.</w:t>
      </w:r>
    </w:p>
    <w:p w14:paraId="255E3404"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On average, </w:t>
      </w:r>
      <w:r>
        <w:rPr>
          <w:rFonts w:eastAsia="Times New Roman" w:cstheme="minorHAnsi"/>
          <w:b/>
          <w:bCs/>
          <w:color w:val="767171" w:themeColor="background2" w:themeShade="80"/>
          <w:sz w:val="22"/>
          <w:szCs w:val="22"/>
          <w:bdr w:val="none" w:sz="0" w:space="0" w:color="auto" w:frame="1"/>
          <w:lang w:val="en-US"/>
        </w:rPr>
        <w:t>55% of WEEE plastics entering specialized WEEE plastic recycling facilities are effectively recycled</w:t>
      </w:r>
      <w:r>
        <w:rPr>
          <w:rFonts w:eastAsia="Times New Roman" w:cstheme="minorHAnsi"/>
          <w:color w:val="767171" w:themeColor="background2" w:themeShade="80"/>
          <w:sz w:val="22"/>
          <w:szCs w:val="22"/>
          <w:lang w:val="en-US"/>
        </w:rPr>
        <w:t xml:space="preserve">, </w:t>
      </w:r>
      <w:proofErr w:type="gramStart"/>
      <w:r>
        <w:rPr>
          <w:rFonts w:eastAsia="Times New Roman" w:cstheme="minorHAnsi"/>
          <w:color w:val="767171" w:themeColor="background2" w:themeShade="80"/>
          <w:sz w:val="22"/>
          <w:szCs w:val="22"/>
          <w:lang w:val="en-US"/>
        </w:rPr>
        <w:t>i.e.</w:t>
      </w:r>
      <w:proofErr w:type="gramEnd"/>
      <w:r>
        <w:rPr>
          <w:rFonts w:eastAsia="Times New Roman" w:cstheme="minorHAnsi"/>
          <w:color w:val="767171" w:themeColor="background2" w:themeShade="80"/>
          <w:sz w:val="22"/>
          <w:szCs w:val="22"/>
          <w:lang w:val="en-US"/>
        </w:rPr>
        <w:t xml:space="preserve"> turned into Post-Consumer Recycled plastics that can be used in the manufacture of new plastics products.</w:t>
      </w:r>
    </w:p>
    <w:p w14:paraId="29FE520D"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Restricted BFRs (</w:t>
      </w:r>
      <w:proofErr w:type="gramStart"/>
      <w:r>
        <w:rPr>
          <w:rFonts w:eastAsia="Times New Roman" w:cstheme="minorHAnsi"/>
          <w:b/>
          <w:bCs/>
          <w:color w:val="767171" w:themeColor="background2" w:themeShade="80"/>
          <w:sz w:val="22"/>
          <w:szCs w:val="22"/>
          <w:bdr w:val="none" w:sz="0" w:space="0" w:color="auto" w:frame="1"/>
          <w:lang w:val="en-US"/>
        </w:rPr>
        <w:t>e.g.</w:t>
      </w:r>
      <w:proofErr w:type="gramEnd"/>
      <w:r>
        <w:rPr>
          <w:rFonts w:eastAsia="Times New Roman" w:cstheme="minorHAnsi"/>
          <w:b/>
          <w:bCs/>
          <w:color w:val="767171" w:themeColor="background2" w:themeShade="80"/>
          <w:sz w:val="22"/>
          <w:szCs w:val="22"/>
          <w:bdr w:val="none" w:sz="0" w:space="0" w:color="auto" w:frame="1"/>
          <w:lang w:val="en-US"/>
        </w:rPr>
        <w:t xml:space="preserve"> Octa-BDE and Deca-BDE) only represent a small and rapidly declining fraction of all BFRs found in WEEE plastic streams</w:t>
      </w:r>
      <w:r>
        <w:rPr>
          <w:rFonts w:eastAsia="Times New Roman" w:cstheme="minorHAnsi"/>
          <w:color w:val="767171" w:themeColor="background2" w:themeShade="80"/>
          <w:sz w:val="22"/>
          <w:szCs w:val="22"/>
          <w:lang w:val="en-US"/>
        </w:rPr>
        <w:t> reflecting the restriction on the use of these substances for more than a decade (2003 for Octa-BDE, 2008 for Deca-BDE).</w:t>
      </w:r>
    </w:p>
    <w:p w14:paraId="1C9E72F9" w14:textId="77777777" w:rsidR="00B11919" w:rsidRDefault="007E6321">
      <w:pPr>
        <w:numPr>
          <w:ilvl w:val="0"/>
          <w:numId w:val="38"/>
        </w:num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b/>
          <w:bCs/>
          <w:color w:val="767171" w:themeColor="background2" w:themeShade="80"/>
          <w:sz w:val="22"/>
          <w:szCs w:val="22"/>
          <w:bdr w:val="none" w:sz="0" w:space="0" w:color="auto" w:frame="1"/>
          <w:lang w:val="en-US"/>
        </w:rPr>
        <w:t>The presence of BFRs in WEEE plastics does not reduce recycling yields more than other FRs as FR-containing plastics</w:t>
      </w:r>
      <w:r>
        <w:rPr>
          <w:rFonts w:eastAsia="Times New Roman" w:cstheme="minorHAnsi"/>
          <w:color w:val="767171" w:themeColor="background2" w:themeShade="80"/>
          <w:sz w:val="22"/>
          <w:szCs w:val="22"/>
          <w:lang w:val="en-US"/>
        </w:rPr>
        <w:t>, as well as plastics containing other additives in significant loads (</w:t>
      </w:r>
      <w:proofErr w:type="gramStart"/>
      <w:r>
        <w:rPr>
          <w:rFonts w:eastAsia="Times New Roman" w:cstheme="minorHAnsi"/>
          <w:color w:val="767171" w:themeColor="background2" w:themeShade="80"/>
          <w:sz w:val="22"/>
          <w:szCs w:val="22"/>
          <w:lang w:val="en-US"/>
        </w:rPr>
        <w:t>e.g.</w:t>
      </w:r>
      <w:proofErr w:type="gramEnd"/>
      <w:r>
        <w:rPr>
          <w:rFonts w:eastAsia="Times New Roman" w:cstheme="minorHAnsi"/>
          <w:color w:val="767171" w:themeColor="background2" w:themeShade="80"/>
          <w:sz w:val="22"/>
          <w:szCs w:val="22"/>
          <w:lang w:val="en-US"/>
        </w:rPr>
        <w:t xml:space="preserve"> fillers), are sorted out during the conventional density-based recycling process.</w:t>
      </w:r>
    </w:p>
    <w:p w14:paraId="05AD816B"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6C4A99DE" w14:textId="12267336"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This report was supported by </w:t>
      </w:r>
      <w:proofErr w:type="spellStart"/>
      <w:r w:rsidR="008A3958">
        <w:fldChar w:fldCharType="begin"/>
      </w:r>
      <w:r w:rsidR="008A3958">
        <w:instrText xml:space="preserve"> HYPERLINK "https://www.applia-europe.eu/" \t "_blank" </w:instrText>
      </w:r>
      <w:r w:rsidR="008A3958">
        <w:fldChar w:fldCharType="separate"/>
      </w:r>
      <w:r>
        <w:rPr>
          <w:rFonts w:eastAsia="Times New Roman" w:cstheme="minorHAnsi"/>
          <w:b/>
          <w:bCs/>
          <w:color w:val="767171" w:themeColor="background2" w:themeShade="80"/>
          <w:sz w:val="22"/>
          <w:szCs w:val="22"/>
          <w:bdr w:val="none" w:sz="0" w:space="0" w:color="auto" w:frame="1"/>
          <w:lang w:val="en-US"/>
        </w:rPr>
        <w:t>APPLiA</w:t>
      </w:r>
      <w:proofErr w:type="spellEnd"/>
      <w:r w:rsidR="008A3958">
        <w:rPr>
          <w:rFonts w:eastAsia="Times New Roman" w:cstheme="minorHAnsi"/>
          <w:b/>
          <w:bCs/>
          <w:color w:val="767171" w:themeColor="background2" w:themeShade="80"/>
          <w:sz w:val="22"/>
          <w:szCs w:val="22"/>
          <w:bdr w:val="none" w:sz="0" w:space="0" w:color="auto" w:frame="1"/>
          <w:lang w:val="en-US"/>
        </w:rPr>
        <w:fldChar w:fldCharType="end"/>
      </w:r>
      <w:r>
        <w:rPr>
          <w:rFonts w:eastAsia="Times New Roman" w:cstheme="minorHAnsi"/>
          <w:color w:val="767171" w:themeColor="background2" w:themeShade="80"/>
          <w:sz w:val="22"/>
          <w:szCs w:val="22"/>
          <w:lang w:val="en-US"/>
        </w:rPr>
        <w:t>, the voice for the home appliance industry in Europe</w:t>
      </w:r>
      <w:r w:rsidR="008C24DA">
        <w:rPr>
          <w:rFonts w:eastAsia="Times New Roman" w:cstheme="minorHAnsi"/>
          <w:color w:val="767171" w:themeColor="background2" w:themeShade="80"/>
          <w:sz w:val="22"/>
          <w:szCs w:val="22"/>
          <w:lang w:val="en-US"/>
        </w:rPr>
        <w:t>, who note that</w:t>
      </w:r>
      <w:r>
        <w:rPr>
          <w:rFonts w:eastAsia="Times New Roman" w:cstheme="minorHAnsi"/>
          <w:color w:val="767171" w:themeColor="background2" w:themeShade="80"/>
          <w:sz w:val="22"/>
          <w:szCs w:val="22"/>
          <w:lang w:val="en-US"/>
        </w:rPr>
        <w:t> </w:t>
      </w:r>
      <w:r>
        <w:rPr>
          <w:rFonts w:eastAsia="Times New Roman" w:cstheme="minorHAnsi"/>
          <w:b/>
          <w:bCs/>
          <w:color w:val="767171" w:themeColor="background2" w:themeShade="80"/>
          <w:sz w:val="22"/>
          <w:szCs w:val="22"/>
          <w:bdr w:val="none" w:sz="0" w:space="0" w:color="auto" w:frame="1"/>
          <w:lang w:val="en-US"/>
        </w:rPr>
        <w:t>“</w:t>
      </w:r>
      <w:r w:rsidR="00A11E0F" w:rsidRPr="00A11E0F">
        <w:rPr>
          <w:rFonts w:eastAsia="Times New Roman" w:cstheme="minorHAnsi"/>
          <w:b/>
          <w:bCs/>
          <w:color w:val="767171" w:themeColor="background2" w:themeShade="80"/>
          <w:sz w:val="22"/>
          <w:szCs w:val="22"/>
          <w:bdr w:val="none" w:sz="0" w:space="0" w:color="auto" w:frame="1"/>
          <w:lang w:val="en-US"/>
        </w:rPr>
        <w:t xml:space="preserve">"As devices continuously evolve to the complex and smart appliances we see today, ensuring consumer safety is preserved at all stages is a key priority for the home appliance industry. This </w:t>
      </w:r>
      <w:r w:rsidR="00A11E0F" w:rsidRPr="00A11E0F">
        <w:rPr>
          <w:rFonts w:eastAsia="Times New Roman" w:cstheme="minorHAnsi"/>
          <w:b/>
          <w:bCs/>
          <w:color w:val="767171" w:themeColor="background2" w:themeShade="80"/>
          <w:sz w:val="22"/>
          <w:szCs w:val="22"/>
          <w:bdr w:val="none" w:sz="0" w:space="0" w:color="auto" w:frame="1"/>
          <w:lang w:val="en-US"/>
        </w:rPr>
        <w:lastRenderedPageBreak/>
        <w:t>couples with the sectoral effort towards enhancing the circularity of products and processes, from the design phase to end-of-life of products, requiring prompt action from all players in the value chain towards the implementation of a circular model that benefits the economy, the environment and the overall society while preserving the safety of all European consumers</w:t>
      </w:r>
      <w:r>
        <w:rPr>
          <w:rFonts w:eastAsia="Times New Roman" w:cstheme="minorHAnsi"/>
          <w:b/>
          <w:bCs/>
          <w:color w:val="767171" w:themeColor="background2" w:themeShade="80"/>
          <w:sz w:val="22"/>
          <w:szCs w:val="22"/>
          <w:bdr w:val="none" w:sz="0" w:space="0" w:color="auto" w:frame="1"/>
          <w:lang w:val="en-US"/>
        </w:rPr>
        <w:t>.”</w:t>
      </w:r>
    </w:p>
    <w:p w14:paraId="04FDDC1A"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19F18E11"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REQUIREMENTS FOR BFR PLASTICS SEPARATION</w:t>
      </w:r>
    </w:p>
    <w:p w14:paraId="62E3D3A0"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593A9CD5" w14:textId="5961E0EF"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The </w:t>
      </w:r>
      <w:r>
        <w:rPr>
          <w:rFonts w:eastAsia="Times New Roman" w:cstheme="minorHAnsi"/>
          <w:b/>
          <w:bCs/>
          <w:color w:val="767171" w:themeColor="background2" w:themeShade="80"/>
          <w:sz w:val="22"/>
          <w:szCs w:val="22"/>
          <w:lang w:val="en-US"/>
        </w:rPr>
        <w:t>WEEE Directive requires the segregation of plastics containing restricted BFRs during the treatment of WEEE</w:t>
      </w:r>
      <w:r>
        <w:rPr>
          <w:rFonts w:eastAsia="Times New Roman" w:cstheme="minorHAnsi"/>
          <w:color w:val="767171" w:themeColor="background2" w:themeShade="80"/>
          <w:sz w:val="22"/>
          <w:szCs w:val="22"/>
          <w:lang w:val="en-US"/>
        </w:rPr>
        <w:t>, and the CEN standard on WEEE treatment (EN 50625) specifies the modalities of this segregation. Plastics from screens and small appliances must undergo a BFR separation method able to separate a Br-poor fraction that can be recycled, and a Br-rich fraction that shall be disposed of</w:t>
      </w:r>
      <w:r w:rsidR="00170C12">
        <w:rPr>
          <w:rFonts w:eastAsia="Times New Roman" w:cstheme="minorHAnsi"/>
          <w:color w:val="767171" w:themeColor="background2" w:themeShade="80"/>
          <w:sz w:val="22"/>
          <w:szCs w:val="22"/>
          <w:lang w:val="en-US"/>
        </w:rPr>
        <w:t xml:space="preserve"> appropriately</w:t>
      </w:r>
      <w:r>
        <w:rPr>
          <w:rFonts w:eastAsia="Times New Roman" w:cstheme="minorHAnsi"/>
          <w:color w:val="767171" w:themeColor="background2" w:themeShade="80"/>
          <w:sz w:val="22"/>
          <w:szCs w:val="22"/>
          <w:lang w:val="en-US"/>
        </w:rPr>
        <w:t>.</w:t>
      </w:r>
    </w:p>
    <w:p w14:paraId="389F6CF3" w14:textId="7EB43075"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On the report “Impact of Brominated Flame Retardants on the Recycling of WEEE plastics”, </w:t>
      </w:r>
      <w:r>
        <w:rPr>
          <w:rFonts w:eastAsia="Times New Roman" w:cstheme="minorHAnsi"/>
          <w:b/>
          <w:bCs/>
          <w:color w:val="767171" w:themeColor="background2" w:themeShade="80"/>
          <w:sz w:val="22"/>
          <w:szCs w:val="22"/>
          <w:lang w:val="en-US"/>
        </w:rPr>
        <w:t>feedback from WEEE plastic recyclers confirmed that BFR plastics represent nowadays a well-controlled stream</w:t>
      </w:r>
      <w:r>
        <w:rPr>
          <w:rFonts w:eastAsia="Times New Roman" w:cstheme="minorHAnsi"/>
          <w:color w:val="767171" w:themeColor="background2" w:themeShade="80"/>
          <w:sz w:val="22"/>
          <w:szCs w:val="22"/>
          <w:lang w:val="en-US"/>
        </w:rPr>
        <w:t>, which is easily sorted out during conventional and industrial recycling processes. They are, therefore, not a hindrance to the recycling of WEEE plastics.</w:t>
      </w:r>
    </w:p>
    <w:p w14:paraId="57236A63" w14:textId="37B1C164" w:rsidR="00B11919" w:rsidRDefault="007E6321">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A report published by EERA, The European Electronics Recyclers Association, in 2018 shows clearly how WEEE recyclers treat mixed plastics with Best Available Technology in compliance with WEEE and POP</w:t>
      </w:r>
      <w:r w:rsidR="003758EF">
        <w:rPr>
          <w:rFonts w:eastAsia="Times New Roman" w:cstheme="minorHAnsi"/>
          <w:color w:val="767171" w:themeColor="background2" w:themeShade="80"/>
          <w:sz w:val="22"/>
          <w:szCs w:val="22"/>
          <w:lang w:val="en-US"/>
        </w:rPr>
        <w:t xml:space="preserve"> (Persistent Organic Pollutant)</w:t>
      </w:r>
      <w:r>
        <w:rPr>
          <w:rFonts w:eastAsia="Times New Roman" w:cstheme="minorHAnsi"/>
          <w:color w:val="767171" w:themeColor="background2" w:themeShade="80"/>
          <w:sz w:val="22"/>
          <w:szCs w:val="22"/>
          <w:lang w:val="en-US"/>
        </w:rPr>
        <w:t xml:space="preserve"> regulation</w:t>
      </w:r>
      <w:r>
        <w:rPr>
          <w:rStyle w:val="FootnoteReference"/>
          <w:rFonts w:eastAsia="Times New Roman" w:cstheme="minorHAnsi"/>
          <w:color w:val="767171" w:themeColor="background2" w:themeShade="80"/>
          <w:sz w:val="22"/>
          <w:szCs w:val="22"/>
          <w:lang w:val="en-US"/>
        </w:rPr>
        <w:footnoteReference w:id="6"/>
      </w:r>
      <w:r>
        <w:rPr>
          <w:rFonts w:eastAsia="Times New Roman" w:cstheme="minorHAnsi"/>
          <w:color w:val="767171" w:themeColor="background2" w:themeShade="80"/>
          <w:sz w:val="22"/>
          <w:szCs w:val="22"/>
          <w:lang w:val="en-US"/>
        </w:rPr>
        <w:t xml:space="preserve">. </w:t>
      </w:r>
    </w:p>
    <w:p w14:paraId="04B53614"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36E8562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0A3D5163"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6D68002E" w14:textId="77777777" w:rsidR="00B11919" w:rsidRDefault="00B11919">
      <w:pPr>
        <w:spacing w:line="360" w:lineRule="auto"/>
        <w:textAlignment w:val="baseline"/>
        <w:rPr>
          <w:rFonts w:eastAsia="Times New Roman" w:cstheme="minorHAnsi"/>
          <w:b/>
          <w:bCs/>
          <w:color w:val="767171" w:themeColor="background2" w:themeShade="80"/>
          <w:sz w:val="22"/>
          <w:szCs w:val="22"/>
          <w:lang w:val="en-US"/>
        </w:rPr>
      </w:pPr>
    </w:p>
    <w:p w14:paraId="49DBCDE9" w14:textId="77777777" w:rsidR="00B11919" w:rsidRDefault="007E6321">
      <w:pPr>
        <w:spacing w:line="360" w:lineRule="auto"/>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 xml:space="preserve">CHEMICAL SAFETY OF FLAME RETARDANTS </w:t>
      </w:r>
    </w:p>
    <w:p w14:paraId="10773E63" w14:textId="77777777" w:rsidR="00B11919" w:rsidRDefault="00B11919">
      <w:pPr>
        <w:autoSpaceDE w:val="0"/>
        <w:autoSpaceDN w:val="0"/>
        <w:adjustRightInd w:val="0"/>
        <w:spacing w:line="360" w:lineRule="auto"/>
        <w:rPr>
          <w:rFonts w:eastAsia="MarkOT" w:cstheme="minorHAnsi"/>
          <w:color w:val="767171" w:themeColor="background2" w:themeShade="80"/>
          <w:sz w:val="22"/>
          <w:szCs w:val="22"/>
          <w:lang w:val="en-US"/>
        </w:rPr>
      </w:pPr>
    </w:p>
    <w:p w14:paraId="49A10E2B" w14:textId="77777777" w:rsidR="00B11919" w:rsidRDefault="007E6321">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 xml:space="preserve">In addition, the Nordic Council of Ministers report says that </w:t>
      </w:r>
      <w:r>
        <w:rPr>
          <w:rFonts w:eastAsia="MarkOT" w:cstheme="minorHAnsi"/>
          <w:b/>
          <w:bCs/>
          <w:color w:val="767171" w:themeColor="background2" w:themeShade="80"/>
          <w:sz w:val="22"/>
          <w:szCs w:val="22"/>
          <w:lang w:val="en-US"/>
        </w:rPr>
        <w:t>“Not only do these chemicals</w:t>
      </w:r>
      <w:r>
        <w:rPr>
          <w:rFonts w:cstheme="minorHAnsi"/>
          <w:b/>
          <w:bCs/>
          <w:color w:val="767171" w:themeColor="background2" w:themeShade="80"/>
          <w:sz w:val="22"/>
          <w:szCs w:val="22"/>
        </w:rPr>
        <w:t xml:space="preserve"> </w:t>
      </w:r>
      <w:r>
        <w:rPr>
          <w:rFonts w:eastAsia="MarkOT" w:cstheme="minorHAnsi"/>
          <w:b/>
          <w:bCs/>
          <w:color w:val="767171" w:themeColor="background2" w:themeShade="80"/>
          <w:sz w:val="22"/>
          <w:szCs w:val="22"/>
          <w:lang w:val="en-US"/>
        </w:rPr>
        <w:t>[flame retardants] slip through the regulatory framework, their presence in EEE on the European market are also relatively under-studied”</w:t>
      </w:r>
      <w:r>
        <w:rPr>
          <w:rFonts w:eastAsia="MarkOT" w:cstheme="minorHAnsi"/>
          <w:color w:val="767171" w:themeColor="background2" w:themeShade="80"/>
          <w:sz w:val="22"/>
          <w:szCs w:val="22"/>
          <w:lang w:val="en-US"/>
        </w:rPr>
        <w:t>.</w:t>
      </w:r>
    </w:p>
    <w:p w14:paraId="42A955EC" w14:textId="77777777" w:rsidR="00B11919" w:rsidRDefault="00B11919">
      <w:pPr>
        <w:autoSpaceDE w:val="0"/>
        <w:autoSpaceDN w:val="0"/>
        <w:adjustRightInd w:val="0"/>
        <w:spacing w:line="360" w:lineRule="auto"/>
        <w:rPr>
          <w:rFonts w:cstheme="minorHAnsi"/>
          <w:color w:val="767171" w:themeColor="background2" w:themeShade="80"/>
          <w:sz w:val="22"/>
          <w:szCs w:val="22"/>
        </w:rPr>
      </w:pPr>
    </w:p>
    <w:p w14:paraId="75521174" w14:textId="0BE5CC4A" w:rsidR="00B11919" w:rsidRDefault="00AB0F52">
      <w:pPr>
        <w:autoSpaceDE w:val="0"/>
        <w:autoSpaceDN w:val="0"/>
        <w:adjustRightInd w:val="0"/>
        <w:spacing w:line="360" w:lineRule="auto"/>
        <w:rPr>
          <w:rFonts w:eastAsia="MarkOT" w:cstheme="minorHAnsi"/>
          <w:color w:val="767171" w:themeColor="background2" w:themeShade="80"/>
          <w:sz w:val="22"/>
          <w:szCs w:val="22"/>
          <w:lang w:val="en-US"/>
        </w:rPr>
      </w:pPr>
      <w:r w:rsidRPr="00AB0F52">
        <w:rPr>
          <w:rFonts w:cstheme="minorHAnsi"/>
          <w:color w:val="767171" w:themeColor="background2" w:themeShade="80"/>
          <w:sz w:val="22"/>
          <w:szCs w:val="22"/>
        </w:rPr>
        <w:lastRenderedPageBreak/>
        <w:t>Flame retardants include a wide range of chemistries, which act in different ways, based on the chemistry and their final application</w:t>
      </w:r>
      <w:r w:rsidR="007E6321">
        <w:rPr>
          <w:rFonts w:cstheme="minorHAnsi"/>
          <w:color w:val="767171" w:themeColor="background2" w:themeShade="80"/>
          <w:sz w:val="22"/>
          <w:szCs w:val="22"/>
        </w:rPr>
        <w:t>. </w:t>
      </w:r>
      <w:r w:rsidR="007E6321">
        <w:rPr>
          <w:rStyle w:val="Strong"/>
          <w:rFonts w:cstheme="minorHAnsi"/>
          <w:color w:val="767171" w:themeColor="background2" w:themeShade="80"/>
          <w:sz w:val="22"/>
          <w:szCs w:val="22"/>
          <w:bdr w:val="none" w:sz="0" w:space="0" w:color="auto" w:frame="1"/>
        </w:rPr>
        <w:t>Chemical safety in products is the domain of chemical regulators and thanks to the EU REACH Regulation, all chemicals produced in the EU over 1 tonne per annum undergo extensive research and testing to ensure safe use</w:t>
      </w:r>
      <w:r w:rsidR="00836814">
        <w:rPr>
          <w:rStyle w:val="Strong"/>
          <w:rFonts w:cstheme="minorHAnsi"/>
          <w:color w:val="767171" w:themeColor="background2" w:themeShade="80"/>
          <w:sz w:val="22"/>
          <w:szCs w:val="22"/>
          <w:bdr w:val="none" w:sz="0" w:space="0" w:color="auto" w:frame="1"/>
        </w:rPr>
        <w:t xml:space="preserve"> in their designated application</w:t>
      </w:r>
      <w:r w:rsidR="007E6321">
        <w:rPr>
          <w:rStyle w:val="Strong"/>
          <w:rFonts w:cstheme="minorHAnsi"/>
          <w:color w:val="767171" w:themeColor="background2" w:themeShade="80"/>
          <w:sz w:val="22"/>
          <w:szCs w:val="22"/>
          <w:bdr w:val="none" w:sz="0" w:space="0" w:color="auto" w:frame="1"/>
        </w:rPr>
        <w:t>.  </w:t>
      </w:r>
      <w:r w:rsidR="00AB6FA3" w:rsidRPr="00AB6FA3">
        <w:rPr>
          <w:rFonts w:cstheme="minorHAnsi"/>
          <w:color w:val="767171" w:themeColor="background2" w:themeShade="80"/>
          <w:sz w:val="22"/>
          <w:szCs w:val="22"/>
        </w:rPr>
        <w:t xml:space="preserve">Registration under REACH is a pre-requisite to placing any substance </w:t>
      </w:r>
      <w:r w:rsidR="00A31FF3">
        <w:rPr>
          <w:rFonts w:cstheme="minorHAnsi"/>
          <w:color w:val="767171" w:themeColor="background2" w:themeShade="80"/>
          <w:sz w:val="22"/>
          <w:szCs w:val="22"/>
        </w:rPr>
        <w:t xml:space="preserve">such as </w:t>
      </w:r>
      <w:r w:rsidR="00AB6FA3" w:rsidRPr="00AB6FA3">
        <w:rPr>
          <w:rFonts w:cstheme="minorHAnsi"/>
          <w:color w:val="767171" w:themeColor="background2" w:themeShade="80"/>
          <w:sz w:val="22"/>
          <w:szCs w:val="22"/>
        </w:rPr>
        <w:t>new chemical FR on the market</w:t>
      </w:r>
      <w:r w:rsidR="007E6321">
        <w:rPr>
          <w:rFonts w:cstheme="minorHAnsi"/>
          <w:color w:val="767171" w:themeColor="background2" w:themeShade="80"/>
          <w:sz w:val="22"/>
          <w:szCs w:val="22"/>
        </w:rPr>
        <w:t>.</w:t>
      </w:r>
      <w:r w:rsidR="007E6321">
        <w:t xml:space="preserve"> </w:t>
      </w:r>
    </w:p>
    <w:p w14:paraId="68747D5C" w14:textId="77777777" w:rsidR="00B11919" w:rsidRDefault="00B11919">
      <w:pPr>
        <w:spacing w:line="360" w:lineRule="auto"/>
        <w:textAlignment w:val="baseline"/>
        <w:rPr>
          <w:rFonts w:eastAsia="Times New Roman" w:cstheme="minorHAnsi"/>
          <w:color w:val="767171" w:themeColor="background2" w:themeShade="80"/>
          <w:sz w:val="22"/>
          <w:szCs w:val="22"/>
          <w:lang w:val="en-US"/>
        </w:rPr>
      </w:pPr>
    </w:p>
    <w:p w14:paraId="57FA13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6A198A5" w14:textId="77777777" w:rsidR="00AB6FA3" w:rsidRPr="004D3C20" w:rsidRDefault="00AB6FA3" w:rsidP="005F3F03">
      <w:pPr>
        <w:spacing w:line="360" w:lineRule="auto"/>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 xml:space="preserve">To conclude, </w:t>
      </w:r>
      <w:r w:rsidRPr="004D3C20">
        <w:rPr>
          <w:rFonts w:eastAsia="Times New Roman" w:cstheme="minorHAnsi"/>
          <w:color w:val="767171" w:themeColor="background2" w:themeShade="80"/>
          <w:sz w:val="22"/>
          <w:szCs w:val="22"/>
          <w:lang w:val="en-US"/>
        </w:rPr>
        <w:t>Flame retardants are</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part of the fire safety</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toolbox protecting</w:t>
      </w:r>
      <w:r>
        <w:rPr>
          <w:rFonts w:eastAsia="Times New Roman" w:cstheme="minorHAnsi"/>
          <w:color w:val="767171" w:themeColor="background2" w:themeShade="80"/>
          <w:sz w:val="22"/>
          <w:szCs w:val="22"/>
          <w:lang w:val="en-US"/>
        </w:rPr>
        <w:t xml:space="preserve"> </w:t>
      </w:r>
      <w:r w:rsidRPr="004D3C20">
        <w:rPr>
          <w:rFonts w:eastAsia="Times New Roman" w:cstheme="minorHAnsi"/>
          <w:color w:val="767171" w:themeColor="background2" w:themeShade="80"/>
          <w:sz w:val="22"/>
          <w:szCs w:val="22"/>
          <w:lang w:val="en-US"/>
        </w:rPr>
        <w:t>people and property</w:t>
      </w:r>
    </w:p>
    <w:p w14:paraId="4069C26A" w14:textId="05CE56A9" w:rsidR="00AB6FA3" w:rsidRDefault="00AB6FA3" w:rsidP="005F3F03">
      <w:pPr>
        <w:spacing w:line="360" w:lineRule="auto"/>
        <w:textAlignment w:val="baseline"/>
        <w:rPr>
          <w:rFonts w:eastAsia="Times New Roman" w:cstheme="minorHAnsi"/>
          <w:color w:val="767171" w:themeColor="background2" w:themeShade="80"/>
          <w:sz w:val="22"/>
          <w:szCs w:val="22"/>
          <w:lang w:val="en-US"/>
        </w:rPr>
      </w:pPr>
      <w:r w:rsidRPr="004D3C20">
        <w:rPr>
          <w:rFonts w:eastAsia="Times New Roman" w:cstheme="minorHAnsi"/>
          <w:color w:val="767171" w:themeColor="background2" w:themeShade="80"/>
          <w:sz w:val="22"/>
          <w:szCs w:val="22"/>
          <w:lang w:val="en-US"/>
        </w:rPr>
        <w:t>from fires</w:t>
      </w:r>
      <w:r>
        <w:rPr>
          <w:rFonts w:eastAsia="Times New Roman" w:cstheme="minorHAnsi"/>
          <w:color w:val="767171" w:themeColor="background2" w:themeShade="80"/>
          <w:sz w:val="22"/>
          <w:szCs w:val="22"/>
          <w:lang w:val="en-US"/>
        </w:rPr>
        <w:t xml:space="preserve"> and their use is evaluated by regulations.</w:t>
      </w:r>
      <w:r w:rsidRPr="004D3C20">
        <w:rPr>
          <w:rFonts w:eastAsia="Times New Roman" w:cstheme="minorHAnsi"/>
          <w:color w:val="767171" w:themeColor="background2" w:themeShade="80"/>
          <w:sz w:val="22"/>
          <w:szCs w:val="22"/>
          <w:lang w:val="en-US"/>
        </w:rPr>
        <w:t xml:space="preserve"> </w:t>
      </w:r>
      <w:r>
        <w:rPr>
          <w:rFonts w:eastAsia="Times New Roman" w:cstheme="minorHAnsi"/>
          <w:color w:val="767171" w:themeColor="background2" w:themeShade="80"/>
          <w:sz w:val="22"/>
          <w:szCs w:val="22"/>
          <w:lang w:val="en-US"/>
        </w:rPr>
        <w:t>T</w:t>
      </w:r>
      <w:r w:rsidRPr="007C5D1E">
        <w:rPr>
          <w:rFonts w:eastAsia="Times New Roman" w:cstheme="minorHAnsi"/>
          <w:color w:val="767171" w:themeColor="background2" w:themeShade="80"/>
          <w:sz w:val="22"/>
          <w:szCs w:val="22"/>
          <w:lang w:val="en-US"/>
        </w:rPr>
        <w:t xml:space="preserve">he presence of BFRs </w:t>
      </w:r>
      <w:r>
        <w:rPr>
          <w:rFonts w:eastAsia="Times New Roman" w:cstheme="minorHAnsi"/>
          <w:color w:val="767171" w:themeColor="background2" w:themeShade="80"/>
          <w:sz w:val="22"/>
          <w:szCs w:val="22"/>
          <w:lang w:val="en-US"/>
        </w:rPr>
        <w:t>in electric and electronic equipment are not hindering the recycling of WEEE plastics as t</w:t>
      </w:r>
      <w:r w:rsidRPr="004C4024">
        <w:rPr>
          <w:rFonts w:eastAsia="Times New Roman" w:cstheme="minorHAnsi"/>
          <w:color w:val="767171" w:themeColor="background2" w:themeShade="80"/>
          <w:sz w:val="22"/>
          <w:szCs w:val="22"/>
          <w:lang w:val="en-US"/>
        </w:rPr>
        <w:t xml:space="preserve">he WEEE recycling industry has </w:t>
      </w:r>
      <w:r>
        <w:rPr>
          <w:rFonts w:eastAsia="Times New Roman" w:cstheme="minorHAnsi"/>
          <w:color w:val="767171" w:themeColor="background2" w:themeShade="80"/>
          <w:sz w:val="22"/>
          <w:szCs w:val="22"/>
          <w:lang w:val="en-US"/>
        </w:rPr>
        <w:t>the correct processes in place</w:t>
      </w:r>
      <w:r w:rsidRPr="004C4024">
        <w:rPr>
          <w:rFonts w:eastAsia="Times New Roman" w:cstheme="minorHAnsi"/>
          <w:color w:val="767171" w:themeColor="background2" w:themeShade="80"/>
          <w:sz w:val="22"/>
          <w:szCs w:val="22"/>
          <w:lang w:val="en-US"/>
        </w:rPr>
        <w:t>.</w:t>
      </w:r>
      <w:r>
        <w:rPr>
          <w:rFonts w:eastAsia="Times New Roman" w:cstheme="minorHAnsi"/>
          <w:color w:val="767171" w:themeColor="background2" w:themeShade="80"/>
          <w:sz w:val="22"/>
          <w:szCs w:val="22"/>
          <w:lang w:val="en-US"/>
        </w:rPr>
        <w:t xml:space="preserve"> </w:t>
      </w:r>
    </w:p>
    <w:p w14:paraId="70AC252F"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71B674D"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156A5C1"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44219A1B" w14:textId="77777777" w:rsidR="00B11919" w:rsidRDefault="007E6321">
      <w:pPr>
        <w:spacing w:line="360" w:lineRule="auto"/>
        <w:jc w:val="left"/>
        <w:textAlignment w:val="baseline"/>
        <w:rPr>
          <w:rFonts w:eastAsia="Times New Roman" w:cstheme="minorHAnsi"/>
          <w:b/>
          <w:bCs/>
          <w:color w:val="767171" w:themeColor="background2" w:themeShade="80"/>
          <w:sz w:val="22"/>
          <w:szCs w:val="22"/>
          <w:lang w:val="en-US"/>
        </w:rPr>
      </w:pPr>
      <w:r>
        <w:rPr>
          <w:rFonts w:eastAsia="Times New Roman" w:cstheme="minorHAnsi"/>
          <w:b/>
          <w:bCs/>
          <w:color w:val="767171" w:themeColor="background2" w:themeShade="80"/>
          <w:sz w:val="22"/>
          <w:szCs w:val="22"/>
          <w:lang w:val="en-US"/>
        </w:rPr>
        <w:t>Media Contact</w:t>
      </w:r>
    </w:p>
    <w:p w14:paraId="5821D21A"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For all enquiries please contact:</w:t>
      </w:r>
    </w:p>
    <w:p w14:paraId="2486168C"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Nuno Bacharel - Communications Manager</w:t>
      </w:r>
    </w:p>
    <w:p w14:paraId="471BD04D" w14:textId="77777777" w:rsidR="00B11919" w:rsidRDefault="007E6321">
      <w:pPr>
        <w:spacing w:line="360" w:lineRule="auto"/>
        <w:jc w:val="left"/>
        <w:textAlignment w:val="baseline"/>
        <w:rPr>
          <w:rFonts w:eastAsia="Times New Roman" w:cstheme="minorHAnsi"/>
          <w:color w:val="767171" w:themeColor="background2" w:themeShade="80"/>
          <w:sz w:val="22"/>
          <w:szCs w:val="22"/>
          <w:lang w:val="en-US"/>
        </w:rPr>
      </w:pPr>
      <w:r>
        <w:rPr>
          <w:rFonts w:eastAsia="Times New Roman" w:cstheme="minorHAnsi"/>
          <w:color w:val="767171" w:themeColor="background2" w:themeShade="80"/>
          <w:sz w:val="22"/>
          <w:szCs w:val="22"/>
          <w:lang w:val="en-US"/>
        </w:rPr>
        <w:t>nbacharel@bsef.org</w:t>
      </w:r>
    </w:p>
    <w:p w14:paraId="1112F2D7"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EFAE5EB"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1A532A9C" w14:textId="77777777" w:rsidR="00B11919" w:rsidRDefault="00B11919">
      <w:pPr>
        <w:spacing w:line="360" w:lineRule="auto"/>
        <w:jc w:val="left"/>
        <w:textAlignment w:val="baseline"/>
        <w:rPr>
          <w:rFonts w:eastAsia="Times New Roman" w:cstheme="minorHAnsi"/>
          <w:color w:val="767171" w:themeColor="background2" w:themeShade="80"/>
          <w:sz w:val="22"/>
          <w:szCs w:val="22"/>
          <w:lang w:val="en-US"/>
        </w:rPr>
      </w:pPr>
    </w:p>
    <w:p w14:paraId="03966C08" w14:textId="77777777" w:rsidR="00B11919" w:rsidRDefault="007E6321">
      <w:pPr>
        <w:autoSpaceDE w:val="0"/>
        <w:autoSpaceDN w:val="0"/>
        <w:adjustRightInd w:val="0"/>
        <w:spacing w:line="360" w:lineRule="auto"/>
        <w:jc w:val="left"/>
        <w:rPr>
          <w:rFonts w:eastAsia="MarkOT" w:cstheme="minorHAnsi"/>
          <w:b/>
          <w:bCs/>
          <w:color w:val="767171" w:themeColor="background2" w:themeShade="80"/>
          <w:sz w:val="22"/>
          <w:szCs w:val="22"/>
          <w:lang w:val="en-US"/>
        </w:rPr>
      </w:pPr>
      <w:r>
        <w:rPr>
          <w:rFonts w:eastAsia="MarkOT" w:cstheme="minorHAnsi"/>
          <w:b/>
          <w:bCs/>
          <w:color w:val="767171" w:themeColor="background2" w:themeShade="80"/>
          <w:sz w:val="22"/>
          <w:szCs w:val="22"/>
          <w:lang w:val="en-US"/>
        </w:rPr>
        <w:t>About BSEF</w:t>
      </w:r>
    </w:p>
    <w:p w14:paraId="3CBB1BB7" w14:textId="77777777" w:rsidR="00B11919" w:rsidRDefault="007E6321" w:rsidP="005F3F03">
      <w:pPr>
        <w:autoSpaceDE w:val="0"/>
        <w:autoSpaceDN w:val="0"/>
        <w:adjustRightInd w:val="0"/>
        <w:spacing w:line="360" w:lineRule="auto"/>
        <w:rPr>
          <w:rFonts w:eastAsia="MarkOT" w:cstheme="minorHAnsi"/>
          <w:color w:val="767171" w:themeColor="background2" w:themeShade="80"/>
          <w:sz w:val="22"/>
          <w:szCs w:val="22"/>
          <w:lang w:val="en-US"/>
        </w:rPr>
      </w:pPr>
      <w:r>
        <w:rPr>
          <w:rFonts w:eastAsia="MarkOT" w:cstheme="minorHAnsi"/>
          <w:color w:val="767171" w:themeColor="background2" w:themeShade="80"/>
          <w:sz w:val="22"/>
          <w:szCs w:val="22"/>
          <w:lang w:val="en-US"/>
        </w:rPr>
        <w:t xml:space="preserve">BSEF – The International Bromine Council, is the global representative body for bromine producers and producers of bromine technologies. Originally founded in 1997, BSEF works to foster knowledge on the societal benefits of bromine and its applications. The members of BSEF are Albemarle Corporation, ICL Industrial Products, </w:t>
      </w:r>
      <w:proofErr w:type="spellStart"/>
      <w:r>
        <w:rPr>
          <w:rFonts w:eastAsia="MarkOT" w:cstheme="minorHAnsi"/>
          <w:color w:val="767171" w:themeColor="background2" w:themeShade="80"/>
          <w:sz w:val="22"/>
          <w:szCs w:val="22"/>
          <w:lang w:val="en-US"/>
        </w:rPr>
        <w:t>Lanxess</w:t>
      </w:r>
      <w:proofErr w:type="spellEnd"/>
      <w:r>
        <w:rPr>
          <w:rFonts w:eastAsia="MarkOT" w:cstheme="minorHAnsi"/>
          <w:color w:val="767171" w:themeColor="background2" w:themeShade="80"/>
          <w:sz w:val="22"/>
          <w:szCs w:val="22"/>
          <w:lang w:val="en-US"/>
        </w:rPr>
        <w:t xml:space="preserve"> and Tosoh</w:t>
      </w:r>
    </w:p>
    <w:sectPr w:rsidR="00B11919">
      <w:headerReference w:type="even" r:id="rId8"/>
      <w:headerReference w:type="default" r:id="rId9"/>
      <w:footerReference w:type="default" r:id="rId10"/>
      <w:headerReference w:type="first" r:id="rId11"/>
      <w:pgSz w:w="11900" w:h="16840"/>
      <w:pgMar w:top="1418" w:right="1985" w:bottom="1418" w:left="851"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1C5C" w14:textId="77777777" w:rsidR="00361043" w:rsidRDefault="00361043">
      <w:r>
        <w:separator/>
      </w:r>
    </w:p>
  </w:endnote>
  <w:endnote w:type="continuationSeparator" w:id="0">
    <w:p w14:paraId="58E100B7" w14:textId="77777777" w:rsidR="00361043" w:rsidRDefault="00361043">
      <w:r>
        <w:continuationSeparator/>
      </w:r>
    </w:p>
  </w:endnote>
  <w:endnote w:type="continuationNotice" w:id="1">
    <w:p w14:paraId="5931E4AD" w14:textId="77777777" w:rsidR="00361043" w:rsidRDefault="00361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MarkO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3676" w14:textId="2C7528D6" w:rsidR="00B11919" w:rsidRDefault="007E6321">
    <w:pPr>
      <w:pStyle w:val="Footer"/>
      <w:ind w:right="360"/>
    </w:pPr>
    <w:r>
      <w:rPr>
        <w:noProof/>
        <w:lang w:val="en-US" w:eastAsia="zh-CN"/>
      </w:rPr>
      <w:drawing>
        <wp:anchor distT="0" distB="0" distL="114300" distR="114300" simplePos="0" relativeHeight="251658245" behindDoc="0" locked="0" layoutInCell="1" allowOverlap="1" wp14:anchorId="095AF3EF" wp14:editId="25AC772E">
          <wp:simplePos x="0" y="0"/>
          <wp:positionH relativeFrom="page">
            <wp:align>right</wp:align>
          </wp:positionH>
          <wp:positionV relativeFrom="page">
            <wp:align>bottom</wp:align>
          </wp:positionV>
          <wp:extent cx="986400" cy="1623600"/>
          <wp:effectExtent l="0" t="0" r="4445"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T_bg_pge_num.jpg"/>
                  <pic:cNvPicPr/>
                </pic:nvPicPr>
                <pic:blipFill rotWithShape="1">
                  <a:blip r:embed="rId1" cstate="print">
                    <a:alphaModFix/>
                    <a:extLst>
                      <a:ext uri="{BEBA8EAE-BF5A-486C-A8C5-ECC9F3942E4B}">
                        <a14:imgProps xmlns:a14="http://schemas.microsoft.com/office/drawing/2010/main">
                          <a14:imgLayer r:embed="rId2">
                            <a14:imgEffect>
                              <a14:backgroundRemoval t="70288" b="99840" l="86116" r="99766">
                                <a14:foregroundMark x1="99649" y1="70447" x2="92209" y2="88498"/>
                                <a14:foregroundMark x1="92033" y1="88339" x2="95255" y2="94329"/>
                                <a14:foregroundMark x1="89279" y1="94010" x2="95255" y2="94329"/>
                                <a14:foregroundMark x1="89045" y1="94010" x2="86819" y2="99840"/>
                              </a14:backgroundRemoval>
                            </a14:imgEffect>
                          </a14:imgLayer>
                        </a14:imgProps>
                      </a:ext>
                      <a:ext uri="{28A0092B-C50C-407E-A947-70E740481C1C}">
                        <a14:useLocalDpi xmlns:a14="http://schemas.microsoft.com/office/drawing/2010/main" val="0"/>
                      </a:ext>
                    </a:extLst>
                  </a:blip>
                  <a:srcRect l="85982" t="68555"/>
                  <a:stretch/>
                </pic:blipFill>
                <pic:spPr bwMode="auto">
                  <a:xfrm>
                    <a:off x="0" y="0"/>
                    <a:ext cx="986400" cy="16236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arto="http://schemas.microsoft.com/office/word/2006/arto"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
                    </a:ext>
                  </a:extLst>
                </pic:spPr>
              </pic:pic>
            </a:graphicData>
          </a:graphic>
          <wp14:sizeRelH relativeFrom="margin">
            <wp14:pctWidth>0</wp14:pctWidth>
          </wp14:sizeRelH>
          <wp14:sizeRelV relativeFrom="margin">
            <wp14:pctHeight>0</wp14:pctHeight>
          </wp14:sizeRelV>
        </wp:anchor>
      </w:drawing>
    </w:r>
  </w:p>
  <w:p w14:paraId="0210432F" w14:textId="77777777" w:rsidR="00B11919" w:rsidRDefault="007E6321">
    <w:pPr>
      <w:pStyle w:val="Footer"/>
      <w:ind w:right="360"/>
    </w:pPr>
    <w:r>
      <w:rPr>
        <w:noProof/>
        <w:lang w:val="en-US" w:eastAsia="zh-CN"/>
      </w:rPr>
      <mc:AlternateContent>
        <mc:Choice Requires="wps">
          <w:drawing>
            <wp:anchor distT="0" distB="0" distL="114300" distR="114300" simplePos="0" relativeHeight="251658241" behindDoc="0" locked="0" layoutInCell="1" allowOverlap="1" wp14:anchorId="7A4578F6" wp14:editId="563E65E9">
              <wp:simplePos x="0" y="0"/>
              <wp:positionH relativeFrom="column">
                <wp:posOffset>2140734</wp:posOffset>
              </wp:positionH>
              <wp:positionV relativeFrom="paragraph">
                <wp:posOffset>109436</wp:posOffset>
              </wp:positionV>
              <wp:extent cx="2171700" cy="57086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71700" cy="570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1C2E71" w14:textId="77777777" w:rsidR="00B11919" w:rsidRDefault="007E6321">
                          <w:pPr>
                            <w:rPr>
                              <w:color w:val="106F88"/>
                              <w:sz w:val="18"/>
                            </w:rPr>
                          </w:pPr>
                          <w:r>
                            <w:rPr>
                              <w:color w:val="106F88"/>
                              <w:sz w:val="18"/>
                            </w:rPr>
                            <w:t>www.bsef.org</w:t>
                          </w:r>
                        </w:p>
                        <w:p w14:paraId="492E9FEF" w14:textId="77777777" w:rsidR="00B11919" w:rsidRDefault="00B11919">
                          <w:pPr>
                            <w:rPr>
                              <w:color w:val="106F88"/>
                              <w:sz w:val="18"/>
                            </w:rPr>
                          </w:pPr>
                        </w:p>
                        <w:p w14:paraId="1CBA6978" w14:textId="77777777" w:rsidR="00B11919" w:rsidRDefault="007E6321">
                          <w:pPr>
                            <w:rPr>
                              <w:color w:val="106F88"/>
                              <w:sz w:val="18"/>
                            </w:rPr>
                          </w:pPr>
                          <w:r>
                            <w:rPr>
                              <w:color w:val="106F88"/>
                              <w:sz w:val="18"/>
                            </w:rPr>
                            <w:t xml:space="preserve">       BSEF          @Bromineinfo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168.55pt;margin-top:8.6pt;width:171pt;height:4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" filled="f" stroked="f">
              <v:textbox>
                <w:txbxContent>
                  <w:p>
                    <w:pPr>
                      <w:rPr>
                        <w:color w:val="106F88"/>
                        <w:sz w:val="18"/>
                      </w:rPr>
                    </w:pPr>
                    <w:r>
                      <w:rPr>
                        <w:color w:val="106F88"/>
                        <w:sz w:val="18"/>
                      </w:rPr>
                      <w:t>www.bsef.org</w:t>
                    </w:r>
                  </w:p>
                  <w:p>
                    <w:pPr>
                      <w:rPr>
                        <w:color w:val="106F88"/>
                        <w:sz w:val="18"/>
                      </w:rPr>
                    </w:pPr>
                  </w:p>
                  <w:p>
                    <w:pPr>
                      <w:rPr>
                        <w:color w:val="106F88"/>
                        <w:sz w:val="18"/>
                      </w:rPr>
                    </w:pPr>
                    <w:r>
                      <w:rPr>
                        <w:color w:val="106F88"/>
                        <w:sz w:val="18"/>
                      </w:rPr>
                      <w:t xml:space="preserve">       BSEF          @Bromineinfo</w:t>
                    </w:r>
                  </w:p>
                </w:txbxContent>
              </v:textbox>
            </v:shape>
          </w:pict>
        </mc:Fallback>
      </mc:AlternateContent>
    </w:r>
    <w:r>
      <w:rPr>
        <w:noProof/>
        <w:lang w:val="en-US" w:eastAsia="zh-CN"/>
      </w:rPr>
      <mc:AlternateContent>
        <mc:Choice Requires="wps">
          <w:drawing>
            <wp:anchor distT="0" distB="0" distL="114300" distR="114300" simplePos="0" relativeHeight="251658242" behindDoc="0" locked="0" layoutInCell="1" allowOverlap="1" wp14:anchorId="32D87A48" wp14:editId="35D7DF71">
              <wp:simplePos x="0" y="0"/>
              <wp:positionH relativeFrom="column">
                <wp:posOffset>-141551</wp:posOffset>
              </wp:positionH>
              <wp:positionV relativeFrom="paragraph">
                <wp:posOffset>100546</wp:posOffset>
              </wp:positionV>
              <wp:extent cx="2167201" cy="566744"/>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67201" cy="56674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99FF7A" w14:textId="77777777" w:rsidR="00B11919" w:rsidRDefault="007E6321">
                          <w:pPr>
                            <w:rPr>
                              <w:b/>
                              <w:color w:val="106F88"/>
                              <w:sz w:val="18"/>
                              <w:lang w:val="en-US"/>
                            </w:rPr>
                          </w:pPr>
                          <w:r>
                            <w:rPr>
                              <w:b/>
                              <w:color w:val="106F88"/>
                              <w:sz w:val="18"/>
                              <w:lang w:val="en-US"/>
                            </w:rPr>
                            <w:t>The International Bromine Council</w:t>
                          </w:r>
                        </w:p>
                        <w:p w14:paraId="2DEAA491" w14:textId="77777777" w:rsidR="00B11919" w:rsidRDefault="007E6321">
                          <w:pPr>
                            <w:rPr>
                              <w:color w:val="106F88"/>
                              <w:sz w:val="18"/>
                              <w:lang w:val="en-US"/>
                            </w:rPr>
                          </w:pPr>
                          <w:r>
                            <w:rPr>
                              <w:b/>
                              <w:color w:val="106F88"/>
                              <w:sz w:val="18"/>
                              <w:lang w:val="en-US"/>
                            </w:rPr>
                            <w:t xml:space="preserve">BSEF </w:t>
                          </w:r>
                          <w:proofErr w:type="spellStart"/>
                          <w:r>
                            <w:rPr>
                              <w:b/>
                              <w:color w:val="106F88"/>
                              <w:sz w:val="18"/>
                              <w:lang w:val="en-US"/>
                            </w:rPr>
                            <w:t>aisbl</w:t>
                          </w:r>
                          <w:proofErr w:type="spellEnd"/>
                          <w:r>
                            <w:rPr>
                              <w:b/>
                              <w:color w:val="106F88"/>
                              <w:sz w:val="18"/>
                              <w:lang w:val="en-US"/>
                            </w:rPr>
                            <w:t xml:space="preserve"> </w:t>
                          </w:r>
                          <w:r>
                            <w:rPr>
                              <w:color w:val="106F88"/>
                              <w:sz w:val="18"/>
                              <w:lang w:val="en-US"/>
                            </w:rPr>
                            <w:t>– 40 Rue Belliard, Box 17</w:t>
                          </w:r>
                        </w:p>
                        <w:p w14:paraId="1DB81FD3" w14:textId="77777777" w:rsidR="00B11919" w:rsidRDefault="007E6321">
                          <w:pPr>
                            <w:rPr>
                              <w:color w:val="106F88"/>
                              <w:sz w:val="18"/>
                              <w:lang w:val="en-US"/>
                            </w:rPr>
                          </w:pPr>
                          <w:r>
                            <w:rPr>
                              <w:color w:val="106F88"/>
                              <w:sz w:val="18"/>
                              <w:lang w:val="en-US"/>
                            </w:rPr>
                            <w:t>1040 Brussels - Belgium</w:t>
                          </w:r>
                        </w:p>
                        <w:p w14:paraId="3BA9B0A1" w14:textId="77777777" w:rsidR="00B11919" w:rsidRDefault="00B119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11.15pt;margin-top:7.9pt;width:170.65pt;height:4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" filled="f" stroked="f">
              <v:textbox>
                <w:txbxContent>
                  <w:p>
                    <w:pPr>
                      <w:rPr>
                        <w:b/>
                        <w:color w:val="106F88"/>
                        <w:sz w:val="18"/>
                        <w:lang w:val="en-US"/>
                      </w:rPr>
                    </w:pPr>
                    <w:r>
                      <w:rPr>
                        <w:b/>
                        <w:color w:val="106F88"/>
                        <w:sz w:val="18"/>
                        <w:lang w:val="en-US"/>
                      </w:rPr>
                      <w:t>The International Bromine Council</w:t>
                    </w:r>
                  </w:p>
                  <w:p>
                    <w:pPr>
                      <w:rPr>
                        <w:color w:val="106F88"/>
                        <w:sz w:val="18"/>
                        <w:lang w:val="en-US"/>
                      </w:rPr>
                    </w:pPr>
                    <w:r>
                      <w:rPr>
                        <w:b/>
                        <w:color w:val="106F88"/>
                        <w:sz w:val="18"/>
                        <w:lang w:val="en-US"/>
                      </w:rPr>
                      <w:t xml:space="preserve">BSEF aisbl </w:t>
                    </w:r>
                    <w:r>
                      <w:rPr>
                        <w:color w:val="106F88"/>
                        <w:sz w:val="18"/>
                        <w:lang w:val="en-US"/>
                      </w:rPr>
                      <w:t>– 40 Rue Belliard, Box 17</w:t>
                    </w:r>
                  </w:p>
                  <w:p>
                    <w:pPr>
                      <w:rPr>
                        <w:color w:val="106F88"/>
                        <w:sz w:val="18"/>
                        <w:lang w:val="en-US"/>
                      </w:rPr>
                    </w:pPr>
                    <w:r>
                      <w:rPr>
                        <w:color w:val="106F88"/>
                        <w:sz w:val="18"/>
                        <w:lang w:val="en-US"/>
                      </w:rPr>
                      <w:t>1040 Brussels - Belgium</w:t>
                    </w:r>
                  </w:p>
                  <w:p>
                    <w:pPr>
                      <w:rPr>
                        <w:lang w:val="en-US"/>
                      </w:rPr>
                    </w:pPr>
                  </w:p>
                </w:txbxContent>
              </v:textbox>
            </v:shape>
          </w:pict>
        </mc:Fallback>
      </mc:AlternateContent>
    </w:r>
  </w:p>
  <w:p w14:paraId="44EE0E5B" w14:textId="77777777" w:rsidR="00B11919" w:rsidRDefault="00B11919">
    <w:pPr>
      <w:pStyle w:val="Footer"/>
      <w:ind w:right="360"/>
    </w:pPr>
  </w:p>
  <w:p w14:paraId="7BA9A04F" w14:textId="77777777" w:rsidR="00B11919" w:rsidRDefault="007E6321">
    <w:pPr>
      <w:pStyle w:val="Footer"/>
      <w:framePr w:wrap="none" w:vAnchor="text" w:hAnchor="page" w:x="10882" w:y="223"/>
      <w:rPr>
        <w:rStyle w:val="PageNumber"/>
        <w:color w:val="106F88"/>
      </w:rPr>
    </w:pPr>
    <w:r>
      <w:rPr>
        <w:rStyle w:val="PageNumber"/>
        <w:color w:val="106F88"/>
      </w:rPr>
      <w:fldChar w:fldCharType="begin"/>
    </w:r>
    <w:r>
      <w:rPr>
        <w:rStyle w:val="PageNumber"/>
        <w:color w:val="106F88"/>
      </w:rPr>
      <w:instrText xml:space="preserve">PAGE  </w:instrText>
    </w:r>
    <w:r>
      <w:rPr>
        <w:rStyle w:val="PageNumber"/>
        <w:color w:val="106F88"/>
      </w:rPr>
      <w:fldChar w:fldCharType="separate"/>
    </w:r>
    <w:r>
      <w:rPr>
        <w:rStyle w:val="PageNumber"/>
        <w:noProof/>
        <w:color w:val="106F88"/>
      </w:rPr>
      <w:t>2</w:t>
    </w:r>
    <w:r>
      <w:rPr>
        <w:rStyle w:val="PageNumber"/>
        <w:color w:val="106F88"/>
      </w:rPr>
      <w:fldChar w:fldCharType="end"/>
    </w:r>
  </w:p>
  <w:p w14:paraId="3577F315" w14:textId="77777777" w:rsidR="00B11919" w:rsidRDefault="007E6321">
    <w:pPr>
      <w:pStyle w:val="Footer"/>
      <w:ind w:right="360"/>
    </w:pPr>
    <w:r>
      <w:rPr>
        <w:noProof/>
        <w:lang w:val="en-US" w:eastAsia="zh-CN"/>
      </w:rPr>
      <w:drawing>
        <wp:anchor distT="0" distB="0" distL="114300" distR="114300" simplePos="0" relativeHeight="251658243" behindDoc="0" locked="0" layoutInCell="1" allowOverlap="1" wp14:anchorId="35A3D03D" wp14:editId="687873FF">
          <wp:simplePos x="0" y="0"/>
          <wp:positionH relativeFrom="margin">
            <wp:posOffset>2251075</wp:posOffset>
          </wp:positionH>
          <wp:positionV relativeFrom="margin">
            <wp:posOffset>8651875</wp:posOffset>
          </wp:positionV>
          <wp:extent cx="104400" cy="90000"/>
          <wp:effectExtent l="0" t="0" r="0" b="1206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4400" cy="9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58244" behindDoc="0" locked="0" layoutInCell="1" allowOverlap="1" wp14:anchorId="7006F48C" wp14:editId="55E082D0">
          <wp:simplePos x="0" y="0"/>
          <wp:positionH relativeFrom="margin">
            <wp:posOffset>2729230</wp:posOffset>
          </wp:positionH>
          <wp:positionV relativeFrom="margin">
            <wp:posOffset>8666480</wp:posOffset>
          </wp:positionV>
          <wp:extent cx="126000" cy="100800"/>
          <wp:effectExtent l="0" t="0" r="127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87FA" w14:textId="77777777" w:rsidR="00361043" w:rsidRDefault="00361043">
      <w:r>
        <w:separator/>
      </w:r>
    </w:p>
  </w:footnote>
  <w:footnote w:type="continuationSeparator" w:id="0">
    <w:p w14:paraId="6A937647" w14:textId="77777777" w:rsidR="00361043" w:rsidRDefault="00361043">
      <w:r>
        <w:continuationSeparator/>
      </w:r>
    </w:p>
  </w:footnote>
  <w:footnote w:type="continuationNotice" w:id="1">
    <w:p w14:paraId="0ACFA617" w14:textId="77777777" w:rsidR="00361043" w:rsidRDefault="00361043"/>
  </w:footnote>
  <w:footnote w:id="2">
    <w:p w14:paraId="2FE40F66" w14:textId="77777777" w:rsidR="00B11919" w:rsidRDefault="007E6321">
      <w:pPr>
        <w:pStyle w:val="FootnoteText"/>
        <w:rPr>
          <w:sz w:val="18"/>
          <w:szCs w:val="18"/>
          <w:lang w:val="en-US"/>
        </w:rPr>
      </w:pPr>
      <w:r>
        <w:rPr>
          <w:rStyle w:val="FootnoteReference"/>
        </w:rPr>
        <w:footnoteRef/>
      </w:r>
      <w:r>
        <w:t xml:space="preserve"> </w:t>
      </w:r>
      <w:r>
        <w:rPr>
          <w:sz w:val="18"/>
          <w:szCs w:val="18"/>
        </w:rPr>
        <w:t xml:space="preserve">Circular plastics in electrical and electronic equipment report - </w:t>
      </w:r>
      <w:hyperlink r:id="rId1" w:history="1">
        <w:r>
          <w:rPr>
            <w:rStyle w:val="Hyperlink"/>
            <w:sz w:val="18"/>
            <w:szCs w:val="18"/>
          </w:rPr>
          <w:t>https://www.norden.org/en/publication/circular-plastics-electrical-and-electronic-equipment</w:t>
        </w:r>
      </w:hyperlink>
      <w:r>
        <w:rPr>
          <w:sz w:val="18"/>
          <w:szCs w:val="18"/>
        </w:rPr>
        <w:t xml:space="preserve"> </w:t>
      </w:r>
    </w:p>
  </w:footnote>
  <w:footnote w:id="3">
    <w:p w14:paraId="5B2F8E40" w14:textId="77777777" w:rsidR="00B11919" w:rsidRDefault="007E6321">
      <w:pPr>
        <w:pStyle w:val="FootnoteText"/>
        <w:rPr>
          <w:sz w:val="18"/>
          <w:szCs w:val="18"/>
        </w:rPr>
      </w:pPr>
      <w:r>
        <w:rPr>
          <w:rStyle w:val="FootnoteReference"/>
          <w:sz w:val="18"/>
          <w:szCs w:val="18"/>
        </w:rPr>
        <w:footnoteRef/>
      </w:r>
      <w:r>
        <w:rPr>
          <w:sz w:val="18"/>
          <w:szCs w:val="18"/>
        </w:rPr>
        <w:t xml:space="preserve"> Flame retardants guide: preventing fires, protecting people - </w:t>
      </w:r>
      <w:hyperlink r:id="rId2" w:history="1">
        <w:r>
          <w:rPr>
            <w:rStyle w:val="Hyperlink"/>
            <w:sz w:val="18"/>
            <w:szCs w:val="18"/>
          </w:rPr>
          <w:t>http://flameretardantsguide.com/flame-retardants-applications/electronics-and-electrical-equipment/</w:t>
        </w:r>
      </w:hyperlink>
      <w:r>
        <w:rPr>
          <w:sz w:val="18"/>
          <w:szCs w:val="18"/>
        </w:rPr>
        <w:t xml:space="preserve"> </w:t>
      </w:r>
    </w:p>
  </w:footnote>
  <w:footnote w:id="4">
    <w:p w14:paraId="4A71110E" w14:textId="77777777" w:rsidR="00B11919" w:rsidRDefault="007E6321">
      <w:pPr>
        <w:pStyle w:val="FootnoteText"/>
        <w:rPr>
          <w:lang w:val="en-US"/>
        </w:rPr>
      </w:pPr>
      <w:r>
        <w:rPr>
          <w:rStyle w:val="FootnoteReference"/>
          <w:sz w:val="18"/>
          <w:szCs w:val="18"/>
        </w:rPr>
        <w:footnoteRef/>
      </w:r>
      <w:r>
        <w:rPr>
          <w:sz w:val="18"/>
          <w:szCs w:val="18"/>
        </w:rPr>
        <w:t xml:space="preserve"> 10 actions that will improve Fire Safety in Europe - </w:t>
      </w:r>
      <w:hyperlink r:id="rId3" w:history="1">
        <w:r>
          <w:rPr>
            <w:rStyle w:val="Hyperlink"/>
            <w:sz w:val="18"/>
            <w:szCs w:val="18"/>
          </w:rPr>
          <w:t>https://www.europeanfiresafetyalliance.org/our-focus/</w:t>
        </w:r>
      </w:hyperlink>
      <w:r>
        <w:rPr>
          <w:sz w:val="18"/>
          <w:szCs w:val="18"/>
        </w:rPr>
        <w:t xml:space="preserve"> </w:t>
      </w:r>
    </w:p>
  </w:footnote>
  <w:footnote w:id="5">
    <w:p w14:paraId="6EA81DD3" w14:textId="77777777" w:rsidR="00B11919" w:rsidRDefault="007E6321">
      <w:pPr>
        <w:pStyle w:val="FootnoteText"/>
      </w:pPr>
      <w:r>
        <w:rPr>
          <w:rStyle w:val="FootnoteReference"/>
        </w:rPr>
        <w:footnoteRef/>
      </w:r>
      <w:r>
        <w:t xml:space="preserve"> </w:t>
      </w:r>
      <w:r>
        <w:rPr>
          <w:sz w:val="18"/>
          <w:szCs w:val="18"/>
        </w:rPr>
        <w:t>Study on the Impacts of Brominated Flame Retardants on the Recycling of WEEE plastics in Europe.</w:t>
      </w:r>
      <w:hyperlink r:id="rId4" w:history="1">
        <w:r>
          <w:rPr>
            <w:rStyle w:val="Hyperlink"/>
            <w:sz w:val="18"/>
            <w:szCs w:val="18"/>
          </w:rPr>
          <w:t>https://www.bsef.com/wp-content/uploads/2020/11/Study-on-the-impact-of-Brominated-Flame-Retardants-BFRs-on-WEEE-plastics-recycling-by-Sofies-Nov-2020-1.pdf</w:t>
        </w:r>
      </w:hyperlink>
      <w:r>
        <w:t xml:space="preserve"> </w:t>
      </w:r>
    </w:p>
  </w:footnote>
  <w:footnote w:id="6">
    <w:p w14:paraId="428D1C64" w14:textId="77777777" w:rsidR="00B11919" w:rsidRDefault="007E6321">
      <w:pPr>
        <w:pStyle w:val="FootnoteText"/>
      </w:pPr>
      <w:r>
        <w:rPr>
          <w:rStyle w:val="FootnoteReference"/>
        </w:rPr>
        <w:footnoteRef/>
      </w:r>
      <w:r>
        <w:t xml:space="preserve"> Responsible recycling of WEEE plastics containing Brominated </w:t>
      </w:r>
      <w:r>
        <w:rPr>
          <w:lang w:val="en-US"/>
        </w:rPr>
        <w:t>Flame Retardants- BFR’s</w:t>
      </w:r>
      <w:hyperlink r:id="rId5" w:history="1">
        <w:r>
          <w:rPr>
            <w:rStyle w:val="Hyperlink"/>
            <w:lang w:val="en-US"/>
          </w:rPr>
          <w:t>https://www.eera-recyclers.com/files/eera-bfrs-folder-online.pdf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90F" w14:textId="4F249F6C" w:rsidR="00B11919" w:rsidRDefault="00B11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B6C4" w14:textId="4B04E373" w:rsidR="00B11919" w:rsidRDefault="007E6321">
    <w:pPr>
      <w:pStyle w:val="Header"/>
    </w:pPr>
    <w:r>
      <w:rPr>
        <w:noProof/>
        <w:lang w:val="en-US" w:eastAsia="zh-CN"/>
      </w:rPr>
      <w:drawing>
        <wp:anchor distT="0" distB="0" distL="114300" distR="114300" simplePos="0" relativeHeight="251658240" behindDoc="0" locked="0" layoutInCell="1" allowOverlap="1" wp14:anchorId="1B20C786" wp14:editId="539315B4">
          <wp:simplePos x="0" y="0"/>
          <wp:positionH relativeFrom="page">
            <wp:align>center</wp:align>
          </wp:positionH>
          <wp:positionV relativeFrom="page">
            <wp:align>top</wp:align>
          </wp:positionV>
          <wp:extent cx="7567200" cy="1360800"/>
          <wp:effectExtent l="0" t="0" r="2540" b="1143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_BSEF_Wor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DAD3" w14:textId="2B3FF19B" w:rsidR="00B11919" w:rsidRDefault="00B11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F2"/>
    <w:multiLevelType w:val="hybridMultilevel"/>
    <w:tmpl w:val="F0DCE92C"/>
    <w:lvl w:ilvl="0" w:tplc="D7985D54">
      <w:start w:val="1"/>
      <w:numFmt w:val="bullet"/>
      <w:lvlText w:val="•"/>
      <w:lvlJc w:val="left"/>
      <w:pPr>
        <w:tabs>
          <w:tab w:val="num" w:pos="720"/>
        </w:tabs>
        <w:ind w:left="720" w:hanging="360"/>
      </w:pPr>
      <w:rPr>
        <w:rFonts w:ascii="Arial" w:hAnsi="Arial" w:hint="default"/>
      </w:rPr>
    </w:lvl>
    <w:lvl w:ilvl="1" w:tplc="D9320606" w:tentative="1">
      <w:start w:val="1"/>
      <w:numFmt w:val="bullet"/>
      <w:lvlText w:val="•"/>
      <w:lvlJc w:val="left"/>
      <w:pPr>
        <w:tabs>
          <w:tab w:val="num" w:pos="1440"/>
        </w:tabs>
        <w:ind w:left="1440" w:hanging="360"/>
      </w:pPr>
      <w:rPr>
        <w:rFonts w:ascii="Arial" w:hAnsi="Arial" w:hint="default"/>
      </w:rPr>
    </w:lvl>
    <w:lvl w:ilvl="2" w:tplc="7FBCEE32" w:tentative="1">
      <w:start w:val="1"/>
      <w:numFmt w:val="bullet"/>
      <w:lvlText w:val="•"/>
      <w:lvlJc w:val="left"/>
      <w:pPr>
        <w:tabs>
          <w:tab w:val="num" w:pos="2160"/>
        </w:tabs>
        <w:ind w:left="2160" w:hanging="360"/>
      </w:pPr>
      <w:rPr>
        <w:rFonts w:ascii="Arial" w:hAnsi="Arial" w:hint="default"/>
      </w:rPr>
    </w:lvl>
    <w:lvl w:ilvl="3" w:tplc="9CFCDEDC" w:tentative="1">
      <w:start w:val="1"/>
      <w:numFmt w:val="bullet"/>
      <w:lvlText w:val="•"/>
      <w:lvlJc w:val="left"/>
      <w:pPr>
        <w:tabs>
          <w:tab w:val="num" w:pos="2880"/>
        </w:tabs>
        <w:ind w:left="2880" w:hanging="360"/>
      </w:pPr>
      <w:rPr>
        <w:rFonts w:ascii="Arial" w:hAnsi="Arial" w:hint="default"/>
      </w:rPr>
    </w:lvl>
    <w:lvl w:ilvl="4" w:tplc="55540CC6" w:tentative="1">
      <w:start w:val="1"/>
      <w:numFmt w:val="bullet"/>
      <w:lvlText w:val="•"/>
      <w:lvlJc w:val="left"/>
      <w:pPr>
        <w:tabs>
          <w:tab w:val="num" w:pos="3600"/>
        </w:tabs>
        <w:ind w:left="3600" w:hanging="360"/>
      </w:pPr>
      <w:rPr>
        <w:rFonts w:ascii="Arial" w:hAnsi="Arial" w:hint="default"/>
      </w:rPr>
    </w:lvl>
    <w:lvl w:ilvl="5" w:tplc="497CAEAC" w:tentative="1">
      <w:start w:val="1"/>
      <w:numFmt w:val="bullet"/>
      <w:lvlText w:val="•"/>
      <w:lvlJc w:val="left"/>
      <w:pPr>
        <w:tabs>
          <w:tab w:val="num" w:pos="4320"/>
        </w:tabs>
        <w:ind w:left="4320" w:hanging="360"/>
      </w:pPr>
      <w:rPr>
        <w:rFonts w:ascii="Arial" w:hAnsi="Arial" w:hint="default"/>
      </w:rPr>
    </w:lvl>
    <w:lvl w:ilvl="6" w:tplc="967ED318" w:tentative="1">
      <w:start w:val="1"/>
      <w:numFmt w:val="bullet"/>
      <w:lvlText w:val="•"/>
      <w:lvlJc w:val="left"/>
      <w:pPr>
        <w:tabs>
          <w:tab w:val="num" w:pos="5040"/>
        </w:tabs>
        <w:ind w:left="5040" w:hanging="360"/>
      </w:pPr>
      <w:rPr>
        <w:rFonts w:ascii="Arial" w:hAnsi="Arial" w:hint="default"/>
      </w:rPr>
    </w:lvl>
    <w:lvl w:ilvl="7" w:tplc="C8DE639A" w:tentative="1">
      <w:start w:val="1"/>
      <w:numFmt w:val="bullet"/>
      <w:lvlText w:val="•"/>
      <w:lvlJc w:val="left"/>
      <w:pPr>
        <w:tabs>
          <w:tab w:val="num" w:pos="5760"/>
        </w:tabs>
        <w:ind w:left="5760" w:hanging="360"/>
      </w:pPr>
      <w:rPr>
        <w:rFonts w:ascii="Arial" w:hAnsi="Arial" w:hint="default"/>
      </w:rPr>
    </w:lvl>
    <w:lvl w:ilvl="8" w:tplc="63787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B6816"/>
    <w:multiLevelType w:val="hybridMultilevel"/>
    <w:tmpl w:val="E0B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E7D6B"/>
    <w:multiLevelType w:val="hybridMultilevel"/>
    <w:tmpl w:val="C35C2E86"/>
    <w:lvl w:ilvl="0" w:tplc="3DA2EAA8">
      <w:start w:val="1"/>
      <w:numFmt w:val="decimal"/>
      <w:lvlText w:val="%1."/>
      <w:lvlJc w:val="left"/>
      <w:pPr>
        <w:ind w:left="360" w:hanging="360"/>
      </w:pPr>
      <w:rPr>
        <w:rFonts w:hint="default"/>
        <w:b/>
        <w:color w:val="12829E"/>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9C24A9"/>
    <w:multiLevelType w:val="hybridMultilevel"/>
    <w:tmpl w:val="3EF2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B6705"/>
    <w:multiLevelType w:val="hybridMultilevel"/>
    <w:tmpl w:val="F326B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3642BC"/>
    <w:multiLevelType w:val="hybridMultilevel"/>
    <w:tmpl w:val="F7AE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95142"/>
    <w:multiLevelType w:val="hybridMultilevel"/>
    <w:tmpl w:val="9B28F302"/>
    <w:lvl w:ilvl="0" w:tplc="6D18C79E">
      <w:start w:val="1"/>
      <w:numFmt w:val="bullet"/>
      <w:lvlText w:val=""/>
      <w:lvlJc w:val="left"/>
      <w:pPr>
        <w:tabs>
          <w:tab w:val="num" w:pos="720"/>
        </w:tabs>
        <w:ind w:left="720" w:hanging="360"/>
      </w:pPr>
      <w:rPr>
        <w:rFonts w:ascii="Symbol" w:hAnsi="Symbol" w:hint="default"/>
      </w:rPr>
    </w:lvl>
    <w:lvl w:ilvl="1" w:tplc="970E88A4">
      <w:start w:val="1"/>
      <w:numFmt w:val="bullet"/>
      <w:lvlText w:val=""/>
      <w:lvlJc w:val="left"/>
      <w:pPr>
        <w:tabs>
          <w:tab w:val="num" w:pos="1440"/>
        </w:tabs>
        <w:ind w:left="1440" w:hanging="360"/>
      </w:pPr>
      <w:rPr>
        <w:rFonts w:ascii="Symbol" w:hAnsi="Symbol" w:hint="default"/>
      </w:rPr>
    </w:lvl>
    <w:lvl w:ilvl="2" w:tplc="6AA82BEC">
      <w:start w:val="1"/>
      <w:numFmt w:val="bullet"/>
      <w:lvlText w:val=""/>
      <w:lvlJc w:val="left"/>
      <w:pPr>
        <w:tabs>
          <w:tab w:val="num" w:pos="2160"/>
        </w:tabs>
        <w:ind w:left="2160" w:hanging="360"/>
      </w:pPr>
      <w:rPr>
        <w:rFonts w:ascii="Symbol" w:hAnsi="Symbol" w:hint="default"/>
      </w:rPr>
    </w:lvl>
    <w:lvl w:ilvl="3" w:tplc="4CA81EDA">
      <w:start w:val="1"/>
      <w:numFmt w:val="bullet"/>
      <w:lvlText w:val=""/>
      <w:lvlJc w:val="left"/>
      <w:pPr>
        <w:tabs>
          <w:tab w:val="num" w:pos="2880"/>
        </w:tabs>
        <w:ind w:left="2880" w:hanging="360"/>
      </w:pPr>
      <w:rPr>
        <w:rFonts w:ascii="Symbol" w:hAnsi="Symbol" w:hint="default"/>
      </w:rPr>
    </w:lvl>
    <w:lvl w:ilvl="4" w:tplc="D94E0B5A">
      <w:start w:val="1"/>
      <w:numFmt w:val="bullet"/>
      <w:lvlText w:val=""/>
      <w:lvlJc w:val="left"/>
      <w:pPr>
        <w:tabs>
          <w:tab w:val="num" w:pos="3600"/>
        </w:tabs>
        <w:ind w:left="3600" w:hanging="360"/>
      </w:pPr>
      <w:rPr>
        <w:rFonts w:ascii="Symbol" w:hAnsi="Symbol" w:hint="default"/>
      </w:rPr>
    </w:lvl>
    <w:lvl w:ilvl="5" w:tplc="F686F470">
      <w:start w:val="1"/>
      <w:numFmt w:val="bullet"/>
      <w:lvlText w:val=""/>
      <w:lvlJc w:val="left"/>
      <w:pPr>
        <w:tabs>
          <w:tab w:val="num" w:pos="4320"/>
        </w:tabs>
        <w:ind w:left="4320" w:hanging="360"/>
      </w:pPr>
      <w:rPr>
        <w:rFonts w:ascii="Symbol" w:hAnsi="Symbol" w:hint="default"/>
      </w:rPr>
    </w:lvl>
    <w:lvl w:ilvl="6" w:tplc="08D40224">
      <w:start w:val="1"/>
      <w:numFmt w:val="bullet"/>
      <w:lvlText w:val=""/>
      <w:lvlJc w:val="left"/>
      <w:pPr>
        <w:tabs>
          <w:tab w:val="num" w:pos="5040"/>
        </w:tabs>
        <w:ind w:left="5040" w:hanging="360"/>
      </w:pPr>
      <w:rPr>
        <w:rFonts w:ascii="Symbol" w:hAnsi="Symbol" w:hint="default"/>
      </w:rPr>
    </w:lvl>
    <w:lvl w:ilvl="7" w:tplc="63C88DDA">
      <w:start w:val="1"/>
      <w:numFmt w:val="bullet"/>
      <w:lvlText w:val=""/>
      <w:lvlJc w:val="left"/>
      <w:pPr>
        <w:tabs>
          <w:tab w:val="num" w:pos="5760"/>
        </w:tabs>
        <w:ind w:left="5760" w:hanging="360"/>
      </w:pPr>
      <w:rPr>
        <w:rFonts w:ascii="Symbol" w:hAnsi="Symbol" w:hint="default"/>
      </w:rPr>
    </w:lvl>
    <w:lvl w:ilvl="8" w:tplc="67DA72C6">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B55DD3"/>
    <w:multiLevelType w:val="hybridMultilevel"/>
    <w:tmpl w:val="6732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D582E"/>
    <w:multiLevelType w:val="hybridMultilevel"/>
    <w:tmpl w:val="20C4714C"/>
    <w:lvl w:ilvl="0" w:tplc="E3CCA484">
      <w:start w:val="1"/>
      <w:numFmt w:val="bullet"/>
      <w:pStyle w:val="Heading3"/>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7F675FC"/>
    <w:multiLevelType w:val="hybridMultilevel"/>
    <w:tmpl w:val="2F82E01E"/>
    <w:lvl w:ilvl="0" w:tplc="0415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12153B"/>
    <w:multiLevelType w:val="hybridMultilevel"/>
    <w:tmpl w:val="6688CEF0"/>
    <w:lvl w:ilvl="0" w:tplc="584844CC">
      <w:start w:val="1"/>
      <w:numFmt w:val="bullet"/>
      <w:lvlText w:val=""/>
      <w:lvlJc w:val="left"/>
      <w:pPr>
        <w:tabs>
          <w:tab w:val="num" w:pos="720"/>
        </w:tabs>
        <w:ind w:left="720" w:hanging="360"/>
      </w:pPr>
      <w:rPr>
        <w:rFonts w:ascii="Symbol" w:hAnsi="Symbol" w:hint="default"/>
      </w:rPr>
    </w:lvl>
    <w:lvl w:ilvl="1" w:tplc="AF12C01C" w:tentative="1">
      <w:start w:val="1"/>
      <w:numFmt w:val="bullet"/>
      <w:lvlText w:val=""/>
      <w:lvlJc w:val="left"/>
      <w:pPr>
        <w:tabs>
          <w:tab w:val="num" w:pos="1440"/>
        </w:tabs>
        <w:ind w:left="1440" w:hanging="360"/>
      </w:pPr>
      <w:rPr>
        <w:rFonts w:ascii="Symbol" w:hAnsi="Symbol" w:hint="default"/>
      </w:rPr>
    </w:lvl>
    <w:lvl w:ilvl="2" w:tplc="98E4F57A" w:tentative="1">
      <w:start w:val="1"/>
      <w:numFmt w:val="bullet"/>
      <w:lvlText w:val=""/>
      <w:lvlJc w:val="left"/>
      <w:pPr>
        <w:tabs>
          <w:tab w:val="num" w:pos="2160"/>
        </w:tabs>
        <w:ind w:left="2160" w:hanging="360"/>
      </w:pPr>
      <w:rPr>
        <w:rFonts w:ascii="Symbol" w:hAnsi="Symbol" w:hint="default"/>
      </w:rPr>
    </w:lvl>
    <w:lvl w:ilvl="3" w:tplc="00921C4A" w:tentative="1">
      <w:start w:val="1"/>
      <w:numFmt w:val="bullet"/>
      <w:lvlText w:val=""/>
      <w:lvlJc w:val="left"/>
      <w:pPr>
        <w:tabs>
          <w:tab w:val="num" w:pos="2880"/>
        </w:tabs>
        <w:ind w:left="2880" w:hanging="360"/>
      </w:pPr>
      <w:rPr>
        <w:rFonts w:ascii="Symbol" w:hAnsi="Symbol" w:hint="default"/>
      </w:rPr>
    </w:lvl>
    <w:lvl w:ilvl="4" w:tplc="87DEC6BC" w:tentative="1">
      <w:start w:val="1"/>
      <w:numFmt w:val="bullet"/>
      <w:lvlText w:val=""/>
      <w:lvlJc w:val="left"/>
      <w:pPr>
        <w:tabs>
          <w:tab w:val="num" w:pos="3600"/>
        </w:tabs>
        <w:ind w:left="3600" w:hanging="360"/>
      </w:pPr>
      <w:rPr>
        <w:rFonts w:ascii="Symbol" w:hAnsi="Symbol" w:hint="default"/>
      </w:rPr>
    </w:lvl>
    <w:lvl w:ilvl="5" w:tplc="8E9C995E" w:tentative="1">
      <w:start w:val="1"/>
      <w:numFmt w:val="bullet"/>
      <w:lvlText w:val=""/>
      <w:lvlJc w:val="left"/>
      <w:pPr>
        <w:tabs>
          <w:tab w:val="num" w:pos="4320"/>
        </w:tabs>
        <w:ind w:left="4320" w:hanging="360"/>
      </w:pPr>
      <w:rPr>
        <w:rFonts w:ascii="Symbol" w:hAnsi="Symbol" w:hint="default"/>
      </w:rPr>
    </w:lvl>
    <w:lvl w:ilvl="6" w:tplc="46744978" w:tentative="1">
      <w:start w:val="1"/>
      <w:numFmt w:val="bullet"/>
      <w:lvlText w:val=""/>
      <w:lvlJc w:val="left"/>
      <w:pPr>
        <w:tabs>
          <w:tab w:val="num" w:pos="5040"/>
        </w:tabs>
        <w:ind w:left="5040" w:hanging="360"/>
      </w:pPr>
      <w:rPr>
        <w:rFonts w:ascii="Symbol" w:hAnsi="Symbol" w:hint="default"/>
      </w:rPr>
    </w:lvl>
    <w:lvl w:ilvl="7" w:tplc="E1700F26" w:tentative="1">
      <w:start w:val="1"/>
      <w:numFmt w:val="bullet"/>
      <w:lvlText w:val=""/>
      <w:lvlJc w:val="left"/>
      <w:pPr>
        <w:tabs>
          <w:tab w:val="num" w:pos="5760"/>
        </w:tabs>
        <w:ind w:left="5760" w:hanging="360"/>
      </w:pPr>
      <w:rPr>
        <w:rFonts w:ascii="Symbol" w:hAnsi="Symbol" w:hint="default"/>
      </w:rPr>
    </w:lvl>
    <w:lvl w:ilvl="8" w:tplc="866C44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DB25C74"/>
    <w:multiLevelType w:val="hybridMultilevel"/>
    <w:tmpl w:val="54DE2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9F30D7"/>
    <w:multiLevelType w:val="hybridMultilevel"/>
    <w:tmpl w:val="E654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FB0E13"/>
    <w:multiLevelType w:val="hybridMultilevel"/>
    <w:tmpl w:val="264EE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D552A9"/>
    <w:multiLevelType w:val="multilevel"/>
    <w:tmpl w:val="0C8A505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D990CB9"/>
    <w:multiLevelType w:val="hybridMultilevel"/>
    <w:tmpl w:val="740E9728"/>
    <w:lvl w:ilvl="0" w:tplc="780CD61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41341"/>
    <w:multiLevelType w:val="hybridMultilevel"/>
    <w:tmpl w:val="EB9A08B8"/>
    <w:lvl w:ilvl="0" w:tplc="2B3C0116">
      <w:numFmt w:val="bullet"/>
      <w:lvlText w:val="-"/>
      <w:lvlJc w:val="left"/>
      <w:pPr>
        <w:ind w:left="1130" w:hanging="360"/>
      </w:pPr>
      <w:rPr>
        <w:rFonts w:ascii="Calibri" w:eastAsiaTheme="minorHAnsi" w:hAnsi="Calibri" w:cs="Calibri"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start w:val="1"/>
      <w:numFmt w:val="bullet"/>
      <w:lvlText w:val="o"/>
      <w:lvlJc w:val="left"/>
      <w:pPr>
        <w:ind w:left="4010" w:hanging="360"/>
      </w:pPr>
      <w:rPr>
        <w:rFonts w:ascii="Courier New" w:hAnsi="Courier New" w:cs="Courier New" w:hint="default"/>
      </w:rPr>
    </w:lvl>
    <w:lvl w:ilvl="5" w:tplc="04090005">
      <w:start w:val="1"/>
      <w:numFmt w:val="bullet"/>
      <w:lvlText w:val=""/>
      <w:lvlJc w:val="left"/>
      <w:pPr>
        <w:ind w:left="4730" w:hanging="360"/>
      </w:pPr>
      <w:rPr>
        <w:rFonts w:ascii="Wingdings" w:hAnsi="Wingdings" w:hint="default"/>
      </w:rPr>
    </w:lvl>
    <w:lvl w:ilvl="6" w:tplc="04090001">
      <w:start w:val="1"/>
      <w:numFmt w:val="bullet"/>
      <w:lvlText w:val=""/>
      <w:lvlJc w:val="left"/>
      <w:pPr>
        <w:ind w:left="5450" w:hanging="360"/>
      </w:pPr>
      <w:rPr>
        <w:rFonts w:ascii="Symbol" w:hAnsi="Symbol" w:hint="default"/>
      </w:rPr>
    </w:lvl>
    <w:lvl w:ilvl="7" w:tplc="04090003">
      <w:start w:val="1"/>
      <w:numFmt w:val="bullet"/>
      <w:lvlText w:val="o"/>
      <w:lvlJc w:val="left"/>
      <w:pPr>
        <w:ind w:left="6170" w:hanging="360"/>
      </w:pPr>
      <w:rPr>
        <w:rFonts w:ascii="Courier New" w:hAnsi="Courier New" w:cs="Courier New" w:hint="default"/>
      </w:rPr>
    </w:lvl>
    <w:lvl w:ilvl="8" w:tplc="04090005">
      <w:start w:val="1"/>
      <w:numFmt w:val="bullet"/>
      <w:lvlText w:val=""/>
      <w:lvlJc w:val="left"/>
      <w:pPr>
        <w:ind w:left="6890" w:hanging="360"/>
      </w:pPr>
      <w:rPr>
        <w:rFonts w:ascii="Wingdings" w:hAnsi="Wingdings" w:hint="default"/>
      </w:rPr>
    </w:lvl>
  </w:abstractNum>
  <w:abstractNum w:abstractNumId="17" w15:restartNumberingAfterBreak="0">
    <w:nsid w:val="31F96262"/>
    <w:multiLevelType w:val="hybridMultilevel"/>
    <w:tmpl w:val="2D2A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B7DFF"/>
    <w:multiLevelType w:val="hybridMultilevel"/>
    <w:tmpl w:val="58422E7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3B8B0D5B"/>
    <w:multiLevelType w:val="hybridMultilevel"/>
    <w:tmpl w:val="2312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7454"/>
    <w:multiLevelType w:val="hybridMultilevel"/>
    <w:tmpl w:val="3AC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5C5F"/>
    <w:multiLevelType w:val="hybridMultilevel"/>
    <w:tmpl w:val="C6DE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166E6"/>
    <w:multiLevelType w:val="multilevel"/>
    <w:tmpl w:val="85C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407A5E"/>
    <w:multiLevelType w:val="hybridMultilevel"/>
    <w:tmpl w:val="DE6C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E6073"/>
    <w:multiLevelType w:val="hybridMultilevel"/>
    <w:tmpl w:val="DD4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04B28"/>
    <w:multiLevelType w:val="hybridMultilevel"/>
    <w:tmpl w:val="166EFE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E553F"/>
    <w:multiLevelType w:val="hybridMultilevel"/>
    <w:tmpl w:val="4D38DB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21D28"/>
    <w:multiLevelType w:val="hybridMultilevel"/>
    <w:tmpl w:val="6C5437EE"/>
    <w:lvl w:ilvl="0" w:tplc="1F601C02">
      <w:start w:val="1"/>
      <w:numFmt w:val="decimal"/>
      <w:lvlText w:val="%1."/>
      <w:lvlJc w:val="left"/>
      <w:pPr>
        <w:tabs>
          <w:tab w:val="num" w:pos="720"/>
        </w:tabs>
        <w:ind w:left="720" w:hanging="360"/>
      </w:pPr>
    </w:lvl>
    <w:lvl w:ilvl="1" w:tplc="FE12B0DE" w:tentative="1">
      <w:start w:val="1"/>
      <w:numFmt w:val="decimal"/>
      <w:lvlText w:val="%2."/>
      <w:lvlJc w:val="left"/>
      <w:pPr>
        <w:tabs>
          <w:tab w:val="num" w:pos="1440"/>
        </w:tabs>
        <w:ind w:left="1440" w:hanging="360"/>
      </w:pPr>
    </w:lvl>
    <w:lvl w:ilvl="2" w:tplc="C3F4E01C" w:tentative="1">
      <w:start w:val="1"/>
      <w:numFmt w:val="decimal"/>
      <w:lvlText w:val="%3."/>
      <w:lvlJc w:val="left"/>
      <w:pPr>
        <w:tabs>
          <w:tab w:val="num" w:pos="2160"/>
        </w:tabs>
        <w:ind w:left="2160" w:hanging="360"/>
      </w:pPr>
    </w:lvl>
    <w:lvl w:ilvl="3" w:tplc="4B1857D4" w:tentative="1">
      <w:start w:val="1"/>
      <w:numFmt w:val="decimal"/>
      <w:lvlText w:val="%4."/>
      <w:lvlJc w:val="left"/>
      <w:pPr>
        <w:tabs>
          <w:tab w:val="num" w:pos="2880"/>
        </w:tabs>
        <w:ind w:left="2880" w:hanging="360"/>
      </w:pPr>
    </w:lvl>
    <w:lvl w:ilvl="4" w:tplc="DBACD40A" w:tentative="1">
      <w:start w:val="1"/>
      <w:numFmt w:val="decimal"/>
      <w:lvlText w:val="%5."/>
      <w:lvlJc w:val="left"/>
      <w:pPr>
        <w:tabs>
          <w:tab w:val="num" w:pos="3600"/>
        </w:tabs>
        <w:ind w:left="3600" w:hanging="360"/>
      </w:pPr>
    </w:lvl>
    <w:lvl w:ilvl="5" w:tplc="1F206760" w:tentative="1">
      <w:start w:val="1"/>
      <w:numFmt w:val="decimal"/>
      <w:lvlText w:val="%6."/>
      <w:lvlJc w:val="left"/>
      <w:pPr>
        <w:tabs>
          <w:tab w:val="num" w:pos="4320"/>
        </w:tabs>
        <w:ind w:left="4320" w:hanging="360"/>
      </w:pPr>
    </w:lvl>
    <w:lvl w:ilvl="6" w:tplc="6CC89818" w:tentative="1">
      <w:start w:val="1"/>
      <w:numFmt w:val="decimal"/>
      <w:lvlText w:val="%7."/>
      <w:lvlJc w:val="left"/>
      <w:pPr>
        <w:tabs>
          <w:tab w:val="num" w:pos="5040"/>
        </w:tabs>
        <w:ind w:left="5040" w:hanging="360"/>
      </w:pPr>
    </w:lvl>
    <w:lvl w:ilvl="7" w:tplc="36105E4C" w:tentative="1">
      <w:start w:val="1"/>
      <w:numFmt w:val="decimal"/>
      <w:lvlText w:val="%8."/>
      <w:lvlJc w:val="left"/>
      <w:pPr>
        <w:tabs>
          <w:tab w:val="num" w:pos="5760"/>
        </w:tabs>
        <w:ind w:left="5760" w:hanging="360"/>
      </w:pPr>
    </w:lvl>
    <w:lvl w:ilvl="8" w:tplc="F57637F0" w:tentative="1">
      <w:start w:val="1"/>
      <w:numFmt w:val="decimal"/>
      <w:lvlText w:val="%9."/>
      <w:lvlJc w:val="left"/>
      <w:pPr>
        <w:tabs>
          <w:tab w:val="num" w:pos="6480"/>
        </w:tabs>
        <w:ind w:left="6480" w:hanging="360"/>
      </w:pPr>
    </w:lvl>
  </w:abstractNum>
  <w:abstractNum w:abstractNumId="28" w15:restartNumberingAfterBreak="0">
    <w:nsid w:val="52BD751D"/>
    <w:multiLevelType w:val="hybridMultilevel"/>
    <w:tmpl w:val="673A7258"/>
    <w:lvl w:ilvl="0" w:tplc="780CD61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73CEF"/>
    <w:multiLevelType w:val="hybridMultilevel"/>
    <w:tmpl w:val="D69A84EC"/>
    <w:lvl w:ilvl="0" w:tplc="041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353DB"/>
    <w:multiLevelType w:val="hybridMultilevel"/>
    <w:tmpl w:val="CEDEC35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EB4990"/>
    <w:multiLevelType w:val="hybridMultilevel"/>
    <w:tmpl w:val="C6289C02"/>
    <w:lvl w:ilvl="0" w:tplc="780CD61A">
      <w:start w:val="1"/>
      <w:numFmt w:val="bullet"/>
      <w:lvlText w:val="•"/>
      <w:lvlJc w:val="left"/>
      <w:pPr>
        <w:tabs>
          <w:tab w:val="num" w:pos="720"/>
        </w:tabs>
        <w:ind w:left="720" w:hanging="360"/>
      </w:pPr>
      <w:rPr>
        <w:rFonts w:ascii="Arial" w:hAnsi="Arial" w:hint="default"/>
      </w:rPr>
    </w:lvl>
    <w:lvl w:ilvl="1" w:tplc="38E89328" w:tentative="1">
      <w:start w:val="1"/>
      <w:numFmt w:val="bullet"/>
      <w:lvlText w:val="•"/>
      <w:lvlJc w:val="left"/>
      <w:pPr>
        <w:tabs>
          <w:tab w:val="num" w:pos="1440"/>
        </w:tabs>
        <w:ind w:left="1440" w:hanging="360"/>
      </w:pPr>
      <w:rPr>
        <w:rFonts w:ascii="Arial" w:hAnsi="Arial" w:hint="default"/>
      </w:rPr>
    </w:lvl>
    <w:lvl w:ilvl="2" w:tplc="07964B7E" w:tentative="1">
      <w:start w:val="1"/>
      <w:numFmt w:val="bullet"/>
      <w:lvlText w:val="•"/>
      <w:lvlJc w:val="left"/>
      <w:pPr>
        <w:tabs>
          <w:tab w:val="num" w:pos="2160"/>
        </w:tabs>
        <w:ind w:left="2160" w:hanging="360"/>
      </w:pPr>
      <w:rPr>
        <w:rFonts w:ascii="Arial" w:hAnsi="Arial" w:hint="default"/>
      </w:rPr>
    </w:lvl>
    <w:lvl w:ilvl="3" w:tplc="6FF44B78" w:tentative="1">
      <w:start w:val="1"/>
      <w:numFmt w:val="bullet"/>
      <w:lvlText w:val="•"/>
      <w:lvlJc w:val="left"/>
      <w:pPr>
        <w:tabs>
          <w:tab w:val="num" w:pos="2880"/>
        </w:tabs>
        <w:ind w:left="2880" w:hanging="360"/>
      </w:pPr>
      <w:rPr>
        <w:rFonts w:ascii="Arial" w:hAnsi="Arial" w:hint="default"/>
      </w:rPr>
    </w:lvl>
    <w:lvl w:ilvl="4" w:tplc="A46A0BAC" w:tentative="1">
      <w:start w:val="1"/>
      <w:numFmt w:val="bullet"/>
      <w:lvlText w:val="•"/>
      <w:lvlJc w:val="left"/>
      <w:pPr>
        <w:tabs>
          <w:tab w:val="num" w:pos="3600"/>
        </w:tabs>
        <w:ind w:left="3600" w:hanging="360"/>
      </w:pPr>
      <w:rPr>
        <w:rFonts w:ascii="Arial" w:hAnsi="Arial" w:hint="default"/>
      </w:rPr>
    </w:lvl>
    <w:lvl w:ilvl="5" w:tplc="35EACC5C" w:tentative="1">
      <w:start w:val="1"/>
      <w:numFmt w:val="bullet"/>
      <w:lvlText w:val="•"/>
      <w:lvlJc w:val="left"/>
      <w:pPr>
        <w:tabs>
          <w:tab w:val="num" w:pos="4320"/>
        </w:tabs>
        <w:ind w:left="4320" w:hanging="360"/>
      </w:pPr>
      <w:rPr>
        <w:rFonts w:ascii="Arial" w:hAnsi="Arial" w:hint="default"/>
      </w:rPr>
    </w:lvl>
    <w:lvl w:ilvl="6" w:tplc="623632B6" w:tentative="1">
      <w:start w:val="1"/>
      <w:numFmt w:val="bullet"/>
      <w:lvlText w:val="•"/>
      <w:lvlJc w:val="left"/>
      <w:pPr>
        <w:tabs>
          <w:tab w:val="num" w:pos="5040"/>
        </w:tabs>
        <w:ind w:left="5040" w:hanging="360"/>
      </w:pPr>
      <w:rPr>
        <w:rFonts w:ascii="Arial" w:hAnsi="Arial" w:hint="default"/>
      </w:rPr>
    </w:lvl>
    <w:lvl w:ilvl="7" w:tplc="F2900638" w:tentative="1">
      <w:start w:val="1"/>
      <w:numFmt w:val="bullet"/>
      <w:lvlText w:val="•"/>
      <w:lvlJc w:val="left"/>
      <w:pPr>
        <w:tabs>
          <w:tab w:val="num" w:pos="5760"/>
        </w:tabs>
        <w:ind w:left="5760" w:hanging="360"/>
      </w:pPr>
      <w:rPr>
        <w:rFonts w:ascii="Arial" w:hAnsi="Arial" w:hint="default"/>
      </w:rPr>
    </w:lvl>
    <w:lvl w:ilvl="8" w:tplc="12F6DA1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B1031"/>
    <w:multiLevelType w:val="hybridMultilevel"/>
    <w:tmpl w:val="9F4210A8"/>
    <w:lvl w:ilvl="0" w:tplc="5754C006">
      <w:start w:val="1"/>
      <w:numFmt w:val="bullet"/>
      <w:lvlText w:val=""/>
      <w:lvlJc w:val="left"/>
      <w:pPr>
        <w:tabs>
          <w:tab w:val="num" w:pos="720"/>
        </w:tabs>
        <w:ind w:left="720" w:hanging="360"/>
      </w:pPr>
      <w:rPr>
        <w:rFonts w:ascii="Symbol" w:hAnsi="Symbol" w:hint="default"/>
      </w:rPr>
    </w:lvl>
    <w:lvl w:ilvl="1" w:tplc="5616F0C8" w:tentative="1">
      <w:start w:val="1"/>
      <w:numFmt w:val="bullet"/>
      <w:lvlText w:val=""/>
      <w:lvlJc w:val="left"/>
      <w:pPr>
        <w:tabs>
          <w:tab w:val="num" w:pos="1440"/>
        </w:tabs>
        <w:ind w:left="1440" w:hanging="360"/>
      </w:pPr>
      <w:rPr>
        <w:rFonts w:ascii="Symbol" w:hAnsi="Symbol" w:hint="default"/>
      </w:rPr>
    </w:lvl>
    <w:lvl w:ilvl="2" w:tplc="E6E43D62" w:tentative="1">
      <w:start w:val="1"/>
      <w:numFmt w:val="bullet"/>
      <w:lvlText w:val=""/>
      <w:lvlJc w:val="left"/>
      <w:pPr>
        <w:tabs>
          <w:tab w:val="num" w:pos="2160"/>
        </w:tabs>
        <w:ind w:left="2160" w:hanging="360"/>
      </w:pPr>
      <w:rPr>
        <w:rFonts w:ascii="Symbol" w:hAnsi="Symbol" w:hint="default"/>
      </w:rPr>
    </w:lvl>
    <w:lvl w:ilvl="3" w:tplc="2BD88140" w:tentative="1">
      <w:start w:val="1"/>
      <w:numFmt w:val="bullet"/>
      <w:lvlText w:val=""/>
      <w:lvlJc w:val="left"/>
      <w:pPr>
        <w:tabs>
          <w:tab w:val="num" w:pos="2880"/>
        </w:tabs>
        <w:ind w:left="2880" w:hanging="360"/>
      </w:pPr>
      <w:rPr>
        <w:rFonts w:ascii="Symbol" w:hAnsi="Symbol" w:hint="default"/>
      </w:rPr>
    </w:lvl>
    <w:lvl w:ilvl="4" w:tplc="EF9CBECC" w:tentative="1">
      <w:start w:val="1"/>
      <w:numFmt w:val="bullet"/>
      <w:lvlText w:val=""/>
      <w:lvlJc w:val="left"/>
      <w:pPr>
        <w:tabs>
          <w:tab w:val="num" w:pos="3600"/>
        </w:tabs>
        <w:ind w:left="3600" w:hanging="360"/>
      </w:pPr>
      <w:rPr>
        <w:rFonts w:ascii="Symbol" w:hAnsi="Symbol" w:hint="default"/>
      </w:rPr>
    </w:lvl>
    <w:lvl w:ilvl="5" w:tplc="416AD378" w:tentative="1">
      <w:start w:val="1"/>
      <w:numFmt w:val="bullet"/>
      <w:lvlText w:val=""/>
      <w:lvlJc w:val="left"/>
      <w:pPr>
        <w:tabs>
          <w:tab w:val="num" w:pos="4320"/>
        </w:tabs>
        <w:ind w:left="4320" w:hanging="360"/>
      </w:pPr>
      <w:rPr>
        <w:rFonts w:ascii="Symbol" w:hAnsi="Symbol" w:hint="default"/>
      </w:rPr>
    </w:lvl>
    <w:lvl w:ilvl="6" w:tplc="1ED40044" w:tentative="1">
      <w:start w:val="1"/>
      <w:numFmt w:val="bullet"/>
      <w:lvlText w:val=""/>
      <w:lvlJc w:val="left"/>
      <w:pPr>
        <w:tabs>
          <w:tab w:val="num" w:pos="5040"/>
        </w:tabs>
        <w:ind w:left="5040" w:hanging="360"/>
      </w:pPr>
      <w:rPr>
        <w:rFonts w:ascii="Symbol" w:hAnsi="Symbol" w:hint="default"/>
      </w:rPr>
    </w:lvl>
    <w:lvl w:ilvl="7" w:tplc="AC026948" w:tentative="1">
      <w:start w:val="1"/>
      <w:numFmt w:val="bullet"/>
      <w:lvlText w:val=""/>
      <w:lvlJc w:val="left"/>
      <w:pPr>
        <w:tabs>
          <w:tab w:val="num" w:pos="5760"/>
        </w:tabs>
        <w:ind w:left="5760" w:hanging="360"/>
      </w:pPr>
      <w:rPr>
        <w:rFonts w:ascii="Symbol" w:hAnsi="Symbol" w:hint="default"/>
      </w:rPr>
    </w:lvl>
    <w:lvl w:ilvl="8" w:tplc="8CF0802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9131365"/>
    <w:multiLevelType w:val="multilevel"/>
    <w:tmpl w:val="5F1A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981962"/>
    <w:multiLevelType w:val="hybridMultilevel"/>
    <w:tmpl w:val="F6BC3510"/>
    <w:lvl w:ilvl="0" w:tplc="073CE520">
      <w:start w:val="1"/>
      <w:numFmt w:val="bullet"/>
      <w:lvlText w:val=""/>
      <w:lvlJc w:val="left"/>
      <w:pPr>
        <w:tabs>
          <w:tab w:val="num" w:pos="720"/>
        </w:tabs>
        <w:ind w:left="720" w:hanging="360"/>
      </w:pPr>
      <w:rPr>
        <w:rFonts w:ascii="Symbol" w:hAnsi="Symbol" w:hint="default"/>
      </w:rPr>
    </w:lvl>
    <w:lvl w:ilvl="1" w:tplc="82382D04" w:tentative="1">
      <w:start w:val="1"/>
      <w:numFmt w:val="bullet"/>
      <w:lvlText w:val=""/>
      <w:lvlJc w:val="left"/>
      <w:pPr>
        <w:tabs>
          <w:tab w:val="num" w:pos="1440"/>
        </w:tabs>
        <w:ind w:left="1440" w:hanging="360"/>
      </w:pPr>
      <w:rPr>
        <w:rFonts w:ascii="Symbol" w:hAnsi="Symbol" w:hint="default"/>
      </w:rPr>
    </w:lvl>
    <w:lvl w:ilvl="2" w:tplc="44D04518" w:tentative="1">
      <w:start w:val="1"/>
      <w:numFmt w:val="bullet"/>
      <w:lvlText w:val=""/>
      <w:lvlJc w:val="left"/>
      <w:pPr>
        <w:tabs>
          <w:tab w:val="num" w:pos="2160"/>
        </w:tabs>
        <w:ind w:left="2160" w:hanging="360"/>
      </w:pPr>
      <w:rPr>
        <w:rFonts w:ascii="Symbol" w:hAnsi="Symbol" w:hint="default"/>
      </w:rPr>
    </w:lvl>
    <w:lvl w:ilvl="3" w:tplc="05DC1166" w:tentative="1">
      <w:start w:val="1"/>
      <w:numFmt w:val="bullet"/>
      <w:lvlText w:val=""/>
      <w:lvlJc w:val="left"/>
      <w:pPr>
        <w:tabs>
          <w:tab w:val="num" w:pos="2880"/>
        </w:tabs>
        <w:ind w:left="2880" w:hanging="360"/>
      </w:pPr>
      <w:rPr>
        <w:rFonts w:ascii="Symbol" w:hAnsi="Symbol" w:hint="default"/>
      </w:rPr>
    </w:lvl>
    <w:lvl w:ilvl="4" w:tplc="F5485B8A" w:tentative="1">
      <w:start w:val="1"/>
      <w:numFmt w:val="bullet"/>
      <w:lvlText w:val=""/>
      <w:lvlJc w:val="left"/>
      <w:pPr>
        <w:tabs>
          <w:tab w:val="num" w:pos="3600"/>
        </w:tabs>
        <w:ind w:left="3600" w:hanging="360"/>
      </w:pPr>
      <w:rPr>
        <w:rFonts w:ascii="Symbol" w:hAnsi="Symbol" w:hint="default"/>
      </w:rPr>
    </w:lvl>
    <w:lvl w:ilvl="5" w:tplc="2B48C6DC" w:tentative="1">
      <w:start w:val="1"/>
      <w:numFmt w:val="bullet"/>
      <w:lvlText w:val=""/>
      <w:lvlJc w:val="left"/>
      <w:pPr>
        <w:tabs>
          <w:tab w:val="num" w:pos="4320"/>
        </w:tabs>
        <w:ind w:left="4320" w:hanging="360"/>
      </w:pPr>
      <w:rPr>
        <w:rFonts w:ascii="Symbol" w:hAnsi="Symbol" w:hint="default"/>
      </w:rPr>
    </w:lvl>
    <w:lvl w:ilvl="6" w:tplc="637C1378" w:tentative="1">
      <w:start w:val="1"/>
      <w:numFmt w:val="bullet"/>
      <w:lvlText w:val=""/>
      <w:lvlJc w:val="left"/>
      <w:pPr>
        <w:tabs>
          <w:tab w:val="num" w:pos="5040"/>
        </w:tabs>
        <w:ind w:left="5040" w:hanging="360"/>
      </w:pPr>
      <w:rPr>
        <w:rFonts w:ascii="Symbol" w:hAnsi="Symbol" w:hint="default"/>
      </w:rPr>
    </w:lvl>
    <w:lvl w:ilvl="7" w:tplc="33E09A82" w:tentative="1">
      <w:start w:val="1"/>
      <w:numFmt w:val="bullet"/>
      <w:lvlText w:val=""/>
      <w:lvlJc w:val="left"/>
      <w:pPr>
        <w:tabs>
          <w:tab w:val="num" w:pos="5760"/>
        </w:tabs>
        <w:ind w:left="5760" w:hanging="360"/>
      </w:pPr>
      <w:rPr>
        <w:rFonts w:ascii="Symbol" w:hAnsi="Symbol" w:hint="default"/>
      </w:rPr>
    </w:lvl>
    <w:lvl w:ilvl="8" w:tplc="FCAC15D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9B26965"/>
    <w:multiLevelType w:val="hybridMultilevel"/>
    <w:tmpl w:val="604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D2967"/>
    <w:multiLevelType w:val="hybridMultilevel"/>
    <w:tmpl w:val="2B70BC00"/>
    <w:lvl w:ilvl="0" w:tplc="BC5E1528">
      <w:start w:val="1"/>
      <w:numFmt w:val="bullet"/>
      <w:pStyle w:val="Heading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912331"/>
    <w:multiLevelType w:val="hybridMultilevel"/>
    <w:tmpl w:val="B132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36"/>
  </w:num>
  <w:num w:numId="5">
    <w:abstractNumId w:val="8"/>
  </w:num>
  <w:num w:numId="6">
    <w:abstractNumId w:val="30"/>
  </w:num>
  <w:num w:numId="7">
    <w:abstractNumId w:val="14"/>
  </w:num>
  <w:num w:numId="8">
    <w:abstractNumId w:val="22"/>
  </w:num>
  <w:num w:numId="9">
    <w:abstractNumId w:val="12"/>
  </w:num>
  <w:num w:numId="10">
    <w:abstractNumId w:val="3"/>
  </w:num>
  <w:num w:numId="11">
    <w:abstractNumId w:val="2"/>
  </w:num>
  <w:num w:numId="12">
    <w:abstractNumId w:val="5"/>
  </w:num>
  <w:num w:numId="13">
    <w:abstractNumId w:val="27"/>
  </w:num>
  <w:num w:numId="14">
    <w:abstractNumId w:val="7"/>
  </w:num>
  <w:num w:numId="15">
    <w:abstractNumId w:val="35"/>
  </w:num>
  <w:num w:numId="16">
    <w:abstractNumId w:val="23"/>
  </w:num>
  <w:num w:numId="17">
    <w:abstractNumId w:val="25"/>
  </w:num>
  <w:num w:numId="18">
    <w:abstractNumId w:val="19"/>
  </w:num>
  <w:num w:numId="19">
    <w:abstractNumId w:val="29"/>
  </w:num>
  <w:num w:numId="20">
    <w:abstractNumId w:val="31"/>
  </w:num>
  <w:num w:numId="21">
    <w:abstractNumId w:val="18"/>
  </w:num>
  <w:num w:numId="22">
    <w:abstractNumId w:val="6"/>
  </w:num>
  <w:num w:numId="23">
    <w:abstractNumId w:val="9"/>
  </w:num>
  <w:num w:numId="24">
    <w:abstractNumId w:val="16"/>
  </w:num>
  <w:num w:numId="25">
    <w:abstractNumId w:val="20"/>
  </w:num>
  <w:num w:numId="26">
    <w:abstractNumId w:val="34"/>
  </w:num>
  <w:num w:numId="27">
    <w:abstractNumId w:val="10"/>
  </w:num>
  <w:num w:numId="28">
    <w:abstractNumId w:val="32"/>
  </w:num>
  <w:num w:numId="29">
    <w:abstractNumId w:val="21"/>
  </w:num>
  <w:num w:numId="30">
    <w:abstractNumId w:val="26"/>
  </w:num>
  <w:num w:numId="31">
    <w:abstractNumId w:val="17"/>
  </w:num>
  <w:num w:numId="32">
    <w:abstractNumId w:val="28"/>
  </w:num>
  <w:num w:numId="33">
    <w:abstractNumId w:val="15"/>
  </w:num>
  <w:num w:numId="34">
    <w:abstractNumId w:val="24"/>
  </w:num>
  <w:num w:numId="35">
    <w:abstractNumId w:val="0"/>
  </w:num>
  <w:num w:numId="36">
    <w:abstractNumId w:val="37"/>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AD\LIJJJ;fefbef8c-7b5a-4780-b5b0-d8f48ccc3373;INTERNAL;2022-01-19T16:06:19;;|"/>
    <w:docVar w:name="ISFOXAutomaticLabelingDisabled" w:val="False"/>
    <w:docVar w:name="ISFOXClassification" w:val=" "/>
    <w:docVar w:name="ISFOXClassificationAlt" w:val=" "/>
    <w:docVar w:name="ISFOXClassificationId" w:val="fefbef8c-7b5a-4780-b5b0-d8f48ccc3373"/>
    <w:docVar w:name="ISFOXClassificationInKeywords" w:val="INTERNAL"/>
    <w:docVar w:name="ISFOXClassificationLong" w:val=" "/>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True"/>
    <w:docVar w:name="ISFOXOldClassificationId" w:val="fefbef8c-7b5a-4780-b5b0-d8f48ccc3373"/>
    <w:docVar w:name="ISFOXOldClassificationIdBackup" w:val="fefbef8c-7b5a-4780-b5b0-d8f48ccc3373"/>
    <w:docVar w:name="ISFOXShowClassificationRequestWindow" w:val="False"/>
    <w:docVar w:name="ISFOXVersioningChanged" w:val="False"/>
  </w:docVars>
  <w:rsids>
    <w:rsidRoot w:val="00B11919"/>
    <w:rsid w:val="00024248"/>
    <w:rsid w:val="00060DE6"/>
    <w:rsid w:val="00170C12"/>
    <w:rsid w:val="00361043"/>
    <w:rsid w:val="003758EF"/>
    <w:rsid w:val="00537E44"/>
    <w:rsid w:val="005F3F03"/>
    <w:rsid w:val="00630BF7"/>
    <w:rsid w:val="006E1F54"/>
    <w:rsid w:val="007E6321"/>
    <w:rsid w:val="00836814"/>
    <w:rsid w:val="008A3958"/>
    <w:rsid w:val="008C0485"/>
    <w:rsid w:val="008C24DA"/>
    <w:rsid w:val="00A11E0F"/>
    <w:rsid w:val="00A31FF3"/>
    <w:rsid w:val="00AB0F52"/>
    <w:rsid w:val="00AB6FA3"/>
    <w:rsid w:val="00B11919"/>
    <w:rsid w:val="00CE3984"/>
    <w:rsid w:val="00DE5CF3"/>
    <w:rsid w:val="00EF7251"/>
    <w:rsid w:val="00F64F9E"/>
    <w:rsid w:val="00FD69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160F"/>
  <w15:chartTrackingRefBased/>
  <w15:docId w15:val="{898A0FF5-B0DD-44D2-9246-D0FE9D65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color w:val="000000" w:themeColor="text1"/>
      <w:sz w:val="20"/>
      <w:lang w:val="en-GB"/>
    </w:rPr>
  </w:style>
  <w:style w:type="paragraph" w:styleId="Heading1">
    <w:name w:val="heading 1"/>
    <w:basedOn w:val="Normal"/>
    <w:next w:val="Normal"/>
    <w:link w:val="Heading1Char"/>
    <w:uiPriority w:val="9"/>
    <w:qFormat/>
    <w:pPr>
      <w:outlineLvl w:val="0"/>
    </w:pPr>
    <w:rPr>
      <w:sz w:val="36"/>
      <w:szCs w:val="80"/>
    </w:rPr>
  </w:style>
  <w:style w:type="paragraph" w:styleId="Heading2">
    <w:name w:val="heading 2"/>
    <w:basedOn w:val="ListParagraph"/>
    <w:next w:val="Normal"/>
    <w:link w:val="Heading2Char"/>
    <w:uiPriority w:val="9"/>
    <w:unhideWhenUsed/>
    <w:qFormat/>
    <w:pPr>
      <w:numPr>
        <w:numId w:val="4"/>
      </w:numPr>
      <w:outlineLvl w:val="1"/>
    </w:pPr>
  </w:style>
  <w:style w:type="paragraph" w:styleId="Heading3">
    <w:name w:val="heading 3"/>
    <w:next w:val="Normal"/>
    <w:link w:val="Heading3Char"/>
    <w:uiPriority w:val="9"/>
    <w:unhideWhenUsed/>
    <w:qFormat/>
    <w:pPr>
      <w:numPr>
        <w:numId w:val="5"/>
      </w:numPr>
      <w:outlineLvl w:val="2"/>
    </w:pPr>
    <w:rPr>
      <w:color w:val="000000" w:themeColor="text1"/>
      <w:sz w:val="20"/>
    </w:rPr>
  </w:style>
  <w:style w:type="paragraph" w:styleId="Heading4">
    <w:name w:val="heading 4"/>
    <w:basedOn w:val="Normal"/>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outlineLvl w:val="4"/>
    </w:p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SEFPagetitle">
    <w:name w:val="BSEF Page title"/>
    <w:qFormat/>
    <w:rPr>
      <w:rFonts w:cs="OpenSans"/>
      <w:b/>
      <w:color w:val="424242"/>
      <w:szCs w:val="20"/>
    </w:rPr>
  </w:style>
  <w:style w:type="paragraph" w:customStyle="1" w:styleId="BSEFBodyGrey">
    <w:name w:val="BSEF Body (Grey)"/>
    <w:basedOn w:val="Normal"/>
    <w:qFormat/>
    <w:rPr>
      <w:rFonts w:cs="OpenSans"/>
      <w:szCs w:val="20"/>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customStyle="1" w:styleId="BSEFBullet">
    <w:name w:val="BSEF Bullet"/>
    <w:qFormat/>
    <w:pPr>
      <w:ind w:left="720" w:hanging="360"/>
    </w:pPr>
    <w:rPr>
      <w:color w:val="A2D5DC"/>
      <w:sz w:val="20"/>
    </w:rPr>
  </w:style>
  <w:style w:type="paragraph" w:customStyle="1" w:styleId="BSEFSubBullet">
    <w:name w:val="BSEF Sub Bullet"/>
    <w:qFormat/>
    <w:pPr>
      <w:ind w:left="1068" w:hanging="360"/>
    </w:pPr>
    <w:rPr>
      <w:color w:val="E78D2D"/>
      <w:sz w:val="20"/>
    </w:rPr>
  </w:style>
  <w:style w:type="paragraph" w:customStyle="1" w:styleId="BSEFBodyYellow">
    <w:name w:val="BSEF Body (Yellow)"/>
    <w:qFormat/>
    <w:rPr>
      <w:color w:val="F8CA22"/>
      <w:sz w:val="20"/>
    </w:rPr>
  </w:style>
  <w:style w:type="paragraph" w:customStyle="1" w:styleId="BSEFBodyTurquoise">
    <w:name w:val="BSEF Body (Turquoise)"/>
    <w:basedOn w:val="Normal"/>
    <w:qFormat/>
    <w:rPr>
      <w:color w:val="A2D5DC"/>
    </w:rPr>
  </w:style>
  <w:style w:type="paragraph" w:customStyle="1" w:styleId="BSEFBodyBlue">
    <w:name w:val="BSEF Body (Blue)"/>
    <w:basedOn w:val="Normal"/>
    <w:qFormat/>
    <w:rPr>
      <w:color w:val="106F88"/>
    </w:rPr>
  </w:style>
  <w:style w:type="paragraph" w:customStyle="1" w:styleId="BSEFBodyOrange">
    <w:name w:val="BSEF Body (Orange)"/>
    <w:basedOn w:val="Normal"/>
    <w:qFormat/>
    <w:rPr>
      <w:color w:val="E78D2D"/>
    </w:rPr>
  </w:style>
  <w:style w:type="paragraph" w:customStyle="1" w:styleId="BSEFdocumenttitle">
    <w:name w:val="BSEF document title"/>
    <w:qFormat/>
    <w:rPr>
      <w:color w:val="FFFFFF" w:themeColor="background1"/>
      <w:sz w:val="72"/>
      <w:szCs w:val="8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color w:val="000000" w:themeColor="text1"/>
      <w:sz w:val="36"/>
      <w:szCs w:val="80"/>
    </w:rPr>
  </w:style>
  <w:style w:type="paragraph" w:customStyle="1" w:styleId="BSEFFooter">
    <w:name w:val="BSEF Footer"/>
    <w:basedOn w:val="Normal"/>
    <w:qFormat/>
    <w:rPr>
      <w:color w:val="106F88"/>
      <w:sz w:val="18"/>
    </w:rPr>
  </w:style>
  <w:style w:type="paragraph" w:styleId="ListParagraph">
    <w:name w:val="List Paragraph"/>
    <w:basedOn w:val="Normal"/>
    <w:uiPriority w:val="34"/>
    <w:qFormat/>
    <w:pPr>
      <w:ind w:left="720"/>
      <w:contextualSpacing/>
    </w:p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color w:val="000000" w:themeColor="text1"/>
      <w:sz w:val="20"/>
    </w:rPr>
  </w:style>
  <w:style w:type="character" w:customStyle="1" w:styleId="Heading3Char">
    <w:name w:val="Heading 3 Char"/>
    <w:basedOn w:val="DefaultParagraphFont"/>
    <w:link w:val="Heading3"/>
    <w:uiPriority w:val="9"/>
    <w:rPr>
      <w:color w:val="000000" w:themeColor="text1"/>
      <w:sz w:val="20"/>
    </w:rPr>
  </w:style>
  <w:style w:type="character" w:customStyle="1" w:styleId="Heading4Char">
    <w:name w:val="Heading 4 Char"/>
    <w:basedOn w:val="DefaultParagraphFont"/>
    <w:link w:val="Heading4"/>
    <w:uiPriority w:val="9"/>
    <w:rPr>
      <w:color w:val="000000" w:themeColor="text1"/>
      <w:sz w:val="20"/>
    </w:rPr>
  </w:style>
  <w:style w:type="character" w:customStyle="1" w:styleId="Heading5Char">
    <w:name w:val="Heading 5 Char"/>
    <w:basedOn w:val="DefaultParagraphFont"/>
    <w:link w:val="Heading5"/>
    <w:uiPriority w:val="9"/>
    <w:rPr>
      <w:color w:val="000000" w:themeColor="text1"/>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00000" w:themeColor="text1"/>
      <w:sz w:val="20"/>
    </w:rPr>
  </w:style>
  <w:style w:type="paragraph" w:customStyle="1" w:styleId="BSEFCoverFooter">
    <w:name w:val="BSEF Cover Footer"/>
    <w:basedOn w:val="Normal"/>
    <w:qFormat/>
    <w:rPr>
      <w:color w:val="FFFFFF" w:themeColor="background1"/>
      <w:sz w:val="18"/>
    </w:rPr>
  </w:style>
  <w:style w:type="paragraph" w:styleId="NoSpacing">
    <w:name w:val="No Spacing"/>
    <w:uiPriority w:val="1"/>
    <w:qFormat/>
    <w:rPr>
      <w:sz w:val="22"/>
      <w:szCs w:val="22"/>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widowControl w:val="0"/>
      <w:autoSpaceDE w:val="0"/>
      <w:autoSpaceDN w:val="0"/>
      <w:jc w:val="left"/>
    </w:pPr>
    <w:rPr>
      <w:rFonts w:ascii="Arial" w:eastAsia="Arial" w:hAnsi="Arial" w:cs="Arial"/>
      <w:color w:val="auto"/>
      <w:szCs w:val="20"/>
      <w:lang w:val="en-US"/>
    </w:rPr>
  </w:style>
  <w:style w:type="character" w:customStyle="1" w:styleId="CommentTextChar">
    <w:name w:val="Comment Text Char"/>
    <w:basedOn w:val="DefaultParagraphFont"/>
    <w:link w:val="CommentText"/>
    <w:uiPriority w:val="9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pPr>
      <w:widowControl/>
      <w:autoSpaceDE/>
      <w:autoSpaceDN/>
      <w:jc w:val="both"/>
    </w:pPr>
    <w:rPr>
      <w:rFonts w:asciiTheme="minorHAnsi" w:eastAsiaTheme="minorHAnsi" w:hAnsiTheme="minorHAnsi" w:cstheme="minorBidi"/>
      <w:b/>
      <w:bCs/>
      <w:color w:val="000000" w:themeColor="text1"/>
      <w:lang w:val="fr-FR"/>
    </w:rPr>
  </w:style>
  <w:style w:type="character" w:customStyle="1" w:styleId="CommentSubjectChar">
    <w:name w:val="Comment Subject Char"/>
    <w:basedOn w:val="CommentTextChar"/>
    <w:link w:val="CommentSubject"/>
    <w:uiPriority w:val="99"/>
    <w:semiHidden/>
    <w:rPr>
      <w:rFonts w:ascii="Arial" w:eastAsia="Arial" w:hAnsi="Arial" w:cs="Arial"/>
      <w:b/>
      <w:bCs/>
      <w:color w:val="000000" w:themeColor="text1"/>
      <w:sz w:val="20"/>
      <w:szCs w:val="20"/>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rFonts w:ascii="Times New Roman" w:eastAsia="Times New Roman" w:hAnsi="Times New Roman" w:cs="Times New Roman"/>
      <w:color w:val="auto"/>
      <w:sz w:val="24"/>
      <w:lang w:val="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rPr>
      <w:rFonts w:ascii="Times New Roman" w:eastAsia="Times New Roman" w:hAnsi="Times New Roman" w:cs="Times New Roman"/>
      <w:sz w:val="20"/>
      <w:szCs w:val="20"/>
      <w:lang w:val="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pPr>
      <w:autoSpaceDE w:val="0"/>
      <w:autoSpaceDN w:val="0"/>
      <w:adjustRightInd w:val="0"/>
      <w:spacing w:line="221" w:lineRule="atLeast"/>
      <w:jc w:val="left"/>
    </w:pPr>
    <w:rPr>
      <w:rFonts w:ascii="Avenir Next" w:eastAsia="Times New Roman" w:hAnsi="Avenir Next" w:cs="Times New Roman"/>
      <w:color w:val="auto"/>
      <w:sz w:val="24"/>
      <w:lang w:val="en-US"/>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ch">
    <w:name w:val="ch"/>
    <w:basedOn w:val="DefaultParagraphFont"/>
  </w:style>
  <w:style w:type="character" w:customStyle="1" w:styleId="css-901oao">
    <w:name w:val="css-901oao"/>
    <w:basedOn w:val="DefaultParagraphFont"/>
  </w:style>
  <w:style w:type="character" w:customStyle="1" w:styleId="r-18u37iz">
    <w:name w:val="r-18u37iz"/>
    <w:basedOn w:val="DefaultParagraphFont"/>
  </w:style>
  <w:style w:type="paragraph" w:styleId="FootnoteText">
    <w:name w:val="footnote text"/>
    <w:basedOn w:val="Normal"/>
    <w:link w:val="FootnoteTextChar"/>
    <w:uiPriority w:val="99"/>
    <w:semiHidden/>
    <w:unhideWhenUsed/>
    <w:pPr>
      <w:jc w:val="left"/>
    </w:pPr>
    <w:rPr>
      <w:color w:val="auto"/>
      <w:szCs w:val="20"/>
      <w:lang w:val="en-IN"/>
    </w:rPr>
  </w:style>
  <w:style w:type="character" w:customStyle="1" w:styleId="FootnoteTextChar">
    <w:name w:val="Footnote Text Char"/>
    <w:basedOn w:val="DefaultParagraphFont"/>
    <w:link w:val="FootnoteText"/>
    <w:uiPriority w:val="99"/>
    <w:semiHidden/>
    <w:rPr>
      <w:sz w:val="20"/>
      <w:szCs w:val="20"/>
      <w:lang w:val="en-IN"/>
    </w:rPr>
  </w:style>
  <w:style w:type="paragraph" w:styleId="Caption">
    <w:name w:val="caption"/>
    <w:basedOn w:val="Normal"/>
    <w:next w:val="Normal"/>
    <w:uiPriority w:val="35"/>
    <w:semiHidden/>
    <w:unhideWhenUsed/>
    <w:qFormat/>
    <w:pPr>
      <w:spacing w:after="200"/>
      <w:jc w:val="left"/>
    </w:pPr>
    <w:rPr>
      <w:i/>
      <w:iCs/>
      <w:color w:val="44546A" w:themeColor="text2"/>
      <w:sz w:val="18"/>
      <w:szCs w:val="18"/>
      <w:lang w:val="en-IN"/>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xmsonormal">
    <w:name w:val="xmsonormal"/>
    <w:basedOn w:val="Normal"/>
    <w:pPr>
      <w:spacing w:before="100" w:beforeAutospacing="1" w:after="100" w:afterAutospacing="1"/>
      <w:jc w:val="left"/>
    </w:pPr>
    <w:rPr>
      <w:rFonts w:ascii="Times New Roman" w:eastAsia="Times New Roman" w:hAnsi="Times New Roman" w:cs="Times New Roman"/>
      <w:color w:val="auto"/>
      <w:sz w:val="24"/>
      <w:lang w:val="en-US"/>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color w:val="000000" w:themeColor="text1"/>
      <w:sz w:val="20"/>
      <w:lang w:val="en-GB"/>
    </w:rPr>
  </w:style>
  <w:style w:type="paragraph" w:customStyle="1" w:styleId="Default">
    <w:name w:val="Default"/>
    <w:pPr>
      <w:autoSpaceDE w:val="0"/>
      <w:autoSpaceDN w:val="0"/>
      <w:adjustRightInd w:val="0"/>
    </w:pPr>
    <w:rPr>
      <w:rFonts w:ascii="Century Gothic" w:hAnsi="Century Gothic" w:cs="Century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225">
      <w:bodyDiv w:val="1"/>
      <w:marLeft w:val="0"/>
      <w:marRight w:val="0"/>
      <w:marTop w:val="0"/>
      <w:marBottom w:val="0"/>
      <w:divBdr>
        <w:top w:val="none" w:sz="0" w:space="0" w:color="auto"/>
        <w:left w:val="none" w:sz="0" w:space="0" w:color="auto"/>
        <w:bottom w:val="none" w:sz="0" w:space="0" w:color="auto"/>
        <w:right w:val="none" w:sz="0" w:space="0" w:color="auto"/>
      </w:divBdr>
    </w:div>
    <w:div w:id="59600144">
      <w:bodyDiv w:val="1"/>
      <w:marLeft w:val="0"/>
      <w:marRight w:val="0"/>
      <w:marTop w:val="0"/>
      <w:marBottom w:val="0"/>
      <w:divBdr>
        <w:top w:val="none" w:sz="0" w:space="0" w:color="auto"/>
        <w:left w:val="none" w:sz="0" w:space="0" w:color="auto"/>
        <w:bottom w:val="none" w:sz="0" w:space="0" w:color="auto"/>
        <w:right w:val="none" w:sz="0" w:space="0" w:color="auto"/>
      </w:divBdr>
    </w:div>
    <w:div w:id="119499254">
      <w:bodyDiv w:val="1"/>
      <w:marLeft w:val="0"/>
      <w:marRight w:val="0"/>
      <w:marTop w:val="0"/>
      <w:marBottom w:val="0"/>
      <w:divBdr>
        <w:top w:val="none" w:sz="0" w:space="0" w:color="auto"/>
        <w:left w:val="none" w:sz="0" w:space="0" w:color="auto"/>
        <w:bottom w:val="none" w:sz="0" w:space="0" w:color="auto"/>
        <w:right w:val="none" w:sz="0" w:space="0" w:color="auto"/>
      </w:divBdr>
    </w:div>
    <w:div w:id="125897269">
      <w:bodyDiv w:val="1"/>
      <w:marLeft w:val="0"/>
      <w:marRight w:val="0"/>
      <w:marTop w:val="0"/>
      <w:marBottom w:val="0"/>
      <w:divBdr>
        <w:top w:val="none" w:sz="0" w:space="0" w:color="auto"/>
        <w:left w:val="none" w:sz="0" w:space="0" w:color="auto"/>
        <w:bottom w:val="none" w:sz="0" w:space="0" w:color="auto"/>
        <w:right w:val="none" w:sz="0" w:space="0" w:color="auto"/>
      </w:divBdr>
    </w:div>
    <w:div w:id="127481469">
      <w:bodyDiv w:val="1"/>
      <w:marLeft w:val="0"/>
      <w:marRight w:val="0"/>
      <w:marTop w:val="0"/>
      <w:marBottom w:val="0"/>
      <w:divBdr>
        <w:top w:val="none" w:sz="0" w:space="0" w:color="auto"/>
        <w:left w:val="none" w:sz="0" w:space="0" w:color="auto"/>
        <w:bottom w:val="none" w:sz="0" w:space="0" w:color="auto"/>
        <w:right w:val="none" w:sz="0" w:space="0" w:color="auto"/>
      </w:divBdr>
    </w:div>
    <w:div w:id="161775020">
      <w:bodyDiv w:val="1"/>
      <w:marLeft w:val="0"/>
      <w:marRight w:val="0"/>
      <w:marTop w:val="0"/>
      <w:marBottom w:val="0"/>
      <w:divBdr>
        <w:top w:val="none" w:sz="0" w:space="0" w:color="auto"/>
        <w:left w:val="none" w:sz="0" w:space="0" w:color="auto"/>
        <w:bottom w:val="none" w:sz="0" w:space="0" w:color="auto"/>
        <w:right w:val="none" w:sz="0" w:space="0" w:color="auto"/>
      </w:divBdr>
    </w:div>
    <w:div w:id="185294154">
      <w:bodyDiv w:val="1"/>
      <w:marLeft w:val="0"/>
      <w:marRight w:val="0"/>
      <w:marTop w:val="0"/>
      <w:marBottom w:val="0"/>
      <w:divBdr>
        <w:top w:val="none" w:sz="0" w:space="0" w:color="auto"/>
        <w:left w:val="none" w:sz="0" w:space="0" w:color="auto"/>
        <w:bottom w:val="none" w:sz="0" w:space="0" w:color="auto"/>
        <w:right w:val="none" w:sz="0" w:space="0" w:color="auto"/>
      </w:divBdr>
    </w:div>
    <w:div w:id="197353592">
      <w:bodyDiv w:val="1"/>
      <w:marLeft w:val="0"/>
      <w:marRight w:val="0"/>
      <w:marTop w:val="0"/>
      <w:marBottom w:val="0"/>
      <w:divBdr>
        <w:top w:val="none" w:sz="0" w:space="0" w:color="auto"/>
        <w:left w:val="none" w:sz="0" w:space="0" w:color="auto"/>
        <w:bottom w:val="none" w:sz="0" w:space="0" w:color="auto"/>
        <w:right w:val="none" w:sz="0" w:space="0" w:color="auto"/>
      </w:divBdr>
    </w:div>
    <w:div w:id="254750212">
      <w:bodyDiv w:val="1"/>
      <w:marLeft w:val="0"/>
      <w:marRight w:val="0"/>
      <w:marTop w:val="0"/>
      <w:marBottom w:val="0"/>
      <w:divBdr>
        <w:top w:val="none" w:sz="0" w:space="0" w:color="auto"/>
        <w:left w:val="none" w:sz="0" w:space="0" w:color="auto"/>
        <w:bottom w:val="none" w:sz="0" w:space="0" w:color="auto"/>
        <w:right w:val="none" w:sz="0" w:space="0" w:color="auto"/>
      </w:divBdr>
      <w:divsChild>
        <w:div w:id="1121338335">
          <w:marLeft w:val="0"/>
          <w:marRight w:val="0"/>
          <w:marTop w:val="0"/>
          <w:marBottom w:val="525"/>
          <w:divBdr>
            <w:top w:val="none" w:sz="0" w:space="0" w:color="auto"/>
            <w:left w:val="none" w:sz="0" w:space="0" w:color="auto"/>
            <w:bottom w:val="none" w:sz="0" w:space="0" w:color="auto"/>
            <w:right w:val="none" w:sz="0" w:space="0" w:color="auto"/>
          </w:divBdr>
          <w:divsChild>
            <w:div w:id="927076251">
              <w:marLeft w:val="0"/>
              <w:marRight w:val="0"/>
              <w:marTop w:val="0"/>
              <w:marBottom w:val="0"/>
              <w:divBdr>
                <w:top w:val="none" w:sz="0" w:space="0" w:color="auto"/>
                <w:left w:val="none" w:sz="0" w:space="0" w:color="auto"/>
                <w:bottom w:val="none" w:sz="0" w:space="0" w:color="auto"/>
                <w:right w:val="none" w:sz="0" w:space="0" w:color="auto"/>
              </w:divBdr>
            </w:div>
          </w:divsChild>
        </w:div>
        <w:div w:id="1284458158">
          <w:marLeft w:val="0"/>
          <w:marRight w:val="0"/>
          <w:marTop w:val="0"/>
          <w:marBottom w:val="525"/>
          <w:divBdr>
            <w:top w:val="none" w:sz="0" w:space="0" w:color="auto"/>
            <w:left w:val="none" w:sz="0" w:space="0" w:color="auto"/>
            <w:bottom w:val="none" w:sz="0" w:space="0" w:color="auto"/>
            <w:right w:val="none" w:sz="0" w:space="0" w:color="auto"/>
          </w:divBdr>
          <w:divsChild>
            <w:div w:id="1311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4808">
      <w:bodyDiv w:val="1"/>
      <w:marLeft w:val="0"/>
      <w:marRight w:val="0"/>
      <w:marTop w:val="0"/>
      <w:marBottom w:val="0"/>
      <w:divBdr>
        <w:top w:val="none" w:sz="0" w:space="0" w:color="auto"/>
        <w:left w:val="none" w:sz="0" w:space="0" w:color="auto"/>
        <w:bottom w:val="none" w:sz="0" w:space="0" w:color="auto"/>
        <w:right w:val="none" w:sz="0" w:space="0" w:color="auto"/>
      </w:divBdr>
    </w:div>
    <w:div w:id="300616827">
      <w:bodyDiv w:val="1"/>
      <w:marLeft w:val="0"/>
      <w:marRight w:val="0"/>
      <w:marTop w:val="0"/>
      <w:marBottom w:val="0"/>
      <w:divBdr>
        <w:top w:val="none" w:sz="0" w:space="0" w:color="auto"/>
        <w:left w:val="none" w:sz="0" w:space="0" w:color="auto"/>
        <w:bottom w:val="none" w:sz="0" w:space="0" w:color="auto"/>
        <w:right w:val="none" w:sz="0" w:space="0" w:color="auto"/>
      </w:divBdr>
    </w:div>
    <w:div w:id="322046808">
      <w:bodyDiv w:val="1"/>
      <w:marLeft w:val="0"/>
      <w:marRight w:val="0"/>
      <w:marTop w:val="0"/>
      <w:marBottom w:val="0"/>
      <w:divBdr>
        <w:top w:val="none" w:sz="0" w:space="0" w:color="auto"/>
        <w:left w:val="none" w:sz="0" w:space="0" w:color="auto"/>
        <w:bottom w:val="none" w:sz="0" w:space="0" w:color="auto"/>
        <w:right w:val="none" w:sz="0" w:space="0" w:color="auto"/>
      </w:divBdr>
    </w:div>
    <w:div w:id="362949297">
      <w:bodyDiv w:val="1"/>
      <w:marLeft w:val="0"/>
      <w:marRight w:val="0"/>
      <w:marTop w:val="0"/>
      <w:marBottom w:val="0"/>
      <w:divBdr>
        <w:top w:val="none" w:sz="0" w:space="0" w:color="auto"/>
        <w:left w:val="none" w:sz="0" w:space="0" w:color="auto"/>
        <w:bottom w:val="none" w:sz="0" w:space="0" w:color="auto"/>
        <w:right w:val="none" w:sz="0" w:space="0" w:color="auto"/>
      </w:divBdr>
    </w:div>
    <w:div w:id="377239702">
      <w:bodyDiv w:val="1"/>
      <w:marLeft w:val="0"/>
      <w:marRight w:val="0"/>
      <w:marTop w:val="0"/>
      <w:marBottom w:val="0"/>
      <w:divBdr>
        <w:top w:val="none" w:sz="0" w:space="0" w:color="auto"/>
        <w:left w:val="none" w:sz="0" w:space="0" w:color="auto"/>
        <w:bottom w:val="none" w:sz="0" w:space="0" w:color="auto"/>
        <w:right w:val="none" w:sz="0" w:space="0" w:color="auto"/>
      </w:divBdr>
    </w:div>
    <w:div w:id="410851496">
      <w:bodyDiv w:val="1"/>
      <w:marLeft w:val="0"/>
      <w:marRight w:val="0"/>
      <w:marTop w:val="0"/>
      <w:marBottom w:val="0"/>
      <w:divBdr>
        <w:top w:val="none" w:sz="0" w:space="0" w:color="auto"/>
        <w:left w:val="none" w:sz="0" w:space="0" w:color="auto"/>
        <w:bottom w:val="none" w:sz="0" w:space="0" w:color="auto"/>
        <w:right w:val="none" w:sz="0" w:space="0" w:color="auto"/>
      </w:divBdr>
    </w:div>
    <w:div w:id="417140995">
      <w:bodyDiv w:val="1"/>
      <w:marLeft w:val="0"/>
      <w:marRight w:val="0"/>
      <w:marTop w:val="0"/>
      <w:marBottom w:val="0"/>
      <w:divBdr>
        <w:top w:val="none" w:sz="0" w:space="0" w:color="auto"/>
        <w:left w:val="none" w:sz="0" w:space="0" w:color="auto"/>
        <w:bottom w:val="none" w:sz="0" w:space="0" w:color="auto"/>
        <w:right w:val="none" w:sz="0" w:space="0" w:color="auto"/>
      </w:divBdr>
    </w:div>
    <w:div w:id="424812137">
      <w:bodyDiv w:val="1"/>
      <w:marLeft w:val="0"/>
      <w:marRight w:val="0"/>
      <w:marTop w:val="0"/>
      <w:marBottom w:val="0"/>
      <w:divBdr>
        <w:top w:val="none" w:sz="0" w:space="0" w:color="auto"/>
        <w:left w:val="none" w:sz="0" w:space="0" w:color="auto"/>
        <w:bottom w:val="none" w:sz="0" w:space="0" w:color="auto"/>
        <w:right w:val="none" w:sz="0" w:space="0" w:color="auto"/>
      </w:divBdr>
    </w:div>
    <w:div w:id="435249987">
      <w:bodyDiv w:val="1"/>
      <w:marLeft w:val="0"/>
      <w:marRight w:val="0"/>
      <w:marTop w:val="0"/>
      <w:marBottom w:val="0"/>
      <w:divBdr>
        <w:top w:val="none" w:sz="0" w:space="0" w:color="auto"/>
        <w:left w:val="none" w:sz="0" w:space="0" w:color="auto"/>
        <w:bottom w:val="none" w:sz="0" w:space="0" w:color="auto"/>
        <w:right w:val="none" w:sz="0" w:space="0" w:color="auto"/>
      </w:divBdr>
    </w:div>
    <w:div w:id="464741769">
      <w:bodyDiv w:val="1"/>
      <w:marLeft w:val="0"/>
      <w:marRight w:val="0"/>
      <w:marTop w:val="0"/>
      <w:marBottom w:val="0"/>
      <w:divBdr>
        <w:top w:val="none" w:sz="0" w:space="0" w:color="auto"/>
        <w:left w:val="none" w:sz="0" w:space="0" w:color="auto"/>
        <w:bottom w:val="none" w:sz="0" w:space="0" w:color="auto"/>
        <w:right w:val="none" w:sz="0" w:space="0" w:color="auto"/>
      </w:divBdr>
    </w:div>
    <w:div w:id="483275850">
      <w:bodyDiv w:val="1"/>
      <w:marLeft w:val="0"/>
      <w:marRight w:val="0"/>
      <w:marTop w:val="0"/>
      <w:marBottom w:val="0"/>
      <w:divBdr>
        <w:top w:val="none" w:sz="0" w:space="0" w:color="auto"/>
        <w:left w:val="none" w:sz="0" w:space="0" w:color="auto"/>
        <w:bottom w:val="none" w:sz="0" w:space="0" w:color="auto"/>
        <w:right w:val="none" w:sz="0" w:space="0" w:color="auto"/>
      </w:divBdr>
    </w:div>
    <w:div w:id="571237748">
      <w:bodyDiv w:val="1"/>
      <w:marLeft w:val="0"/>
      <w:marRight w:val="0"/>
      <w:marTop w:val="0"/>
      <w:marBottom w:val="0"/>
      <w:divBdr>
        <w:top w:val="none" w:sz="0" w:space="0" w:color="auto"/>
        <w:left w:val="none" w:sz="0" w:space="0" w:color="auto"/>
        <w:bottom w:val="none" w:sz="0" w:space="0" w:color="auto"/>
        <w:right w:val="none" w:sz="0" w:space="0" w:color="auto"/>
      </w:divBdr>
    </w:div>
    <w:div w:id="580019917">
      <w:bodyDiv w:val="1"/>
      <w:marLeft w:val="0"/>
      <w:marRight w:val="0"/>
      <w:marTop w:val="0"/>
      <w:marBottom w:val="0"/>
      <w:divBdr>
        <w:top w:val="none" w:sz="0" w:space="0" w:color="auto"/>
        <w:left w:val="none" w:sz="0" w:space="0" w:color="auto"/>
        <w:bottom w:val="none" w:sz="0" w:space="0" w:color="auto"/>
        <w:right w:val="none" w:sz="0" w:space="0" w:color="auto"/>
      </w:divBdr>
    </w:div>
    <w:div w:id="648559970">
      <w:bodyDiv w:val="1"/>
      <w:marLeft w:val="0"/>
      <w:marRight w:val="0"/>
      <w:marTop w:val="0"/>
      <w:marBottom w:val="0"/>
      <w:divBdr>
        <w:top w:val="none" w:sz="0" w:space="0" w:color="auto"/>
        <w:left w:val="none" w:sz="0" w:space="0" w:color="auto"/>
        <w:bottom w:val="none" w:sz="0" w:space="0" w:color="auto"/>
        <w:right w:val="none" w:sz="0" w:space="0" w:color="auto"/>
      </w:divBdr>
    </w:div>
    <w:div w:id="654189779">
      <w:bodyDiv w:val="1"/>
      <w:marLeft w:val="0"/>
      <w:marRight w:val="0"/>
      <w:marTop w:val="0"/>
      <w:marBottom w:val="0"/>
      <w:divBdr>
        <w:top w:val="none" w:sz="0" w:space="0" w:color="auto"/>
        <w:left w:val="none" w:sz="0" w:space="0" w:color="auto"/>
        <w:bottom w:val="none" w:sz="0" w:space="0" w:color="auto"/>
        <w:right w:val="none" w:sz="0" w:space="0" w:color="auto"/>
      </w:divBdr>
    </w:div>
    <w:div w:id="679166494">
      <w:bodyDiv w:val="1"/>
      <w:marLeft w:val="0"/>
      <w:marRight w:val="0"/>
      <w:marTop w:val="0"/>
      <w:marBottom w:val="0"/>
      <w:divBdr>
        <w:top w:val="none" w:sz="0" w:space="0" w:color="auto"/>
        <w:left w:val="none" w:sz="0" w:space="0" w:color="auto"/>
        <w:bottom w:val="none" w:sz="0" w:space="0" w:color="auto"/>
        <w:right w:val="none" w:sz="0" w:space="0" w:color="auto"/>
      </w:divBdr>
      <w:divsChild>
        <w:div w:id="1276864967">
          <w:marLeft w:val="0"/>
          <w:marRight w:val="0"/>
          <w:marTop w:val="0"/>
          <w:marBottom w:val="0"/>
          <w:divBdr>
            <w:top w:val="none" w:sz="0" w:space="0" w:color="auto"/>
            <w:left w:val="none" w:sz="0" w:space="0" w:color="auto"/>
            <w:bottom w:val="none" w:sz="0" w:space="0" w:color="auto"/>
            <w:right w:val="none" w:sz="0" w:space="0" w:color="auto"/>
          </w:divBdr>
        </w:div>
        <w:div w:id="371272625">
          <w:marLeft w:val="0"/>
          <w:marRight w:val="0"/>
          <w:marTop w:val="0"/>
          <w:marBottom w:val="0"/>
          <w:divBdr>
            <w:top w:val="none" w:sz="0" w:space="0" w:color="auto"/>
            <w:left w:val="none" w:sz="0" w:space="0" w:color="auto"/>
            <w:bottom w:val="none" w:sz="0" w:space="0" w:color="auto"/>
            <w:right w:val="none" w:sz="0" w:space="0" w:color="auto"/>
          </w:divBdr>
        </w:div>
      </w:divsChild>
    </w:div>
    <w:div w:id="812526313">
      <w:bodyDiv w:val="1"/>
      <w:marLeft w:val="0"/>
      <w:marRight w:val="0"/>
      <w:marTop w:val="0"/>
      <w:marBottom w:val="0"/>
      <w:divBdr>
        <w:top w:val="none" w:sz="0" w:space="0" w:color="auto"/>
        <w:left w:val="none" w:sz="0" w:space="0" w:color="auto"/>
        <w:bottom w:val="none" w:sz="0" w:space="0" w:color="auto"/>
        <w:right w:val="none" w:sz="0" w:space="0" w:color="auto"/>
      </w:divBdr>
      <w:divsChild>
        <w:div w:id="1092550911">
          <w:marLeft w:val="547"/>
          <w:marRight w:val="0"/>
          <w:marTop w:val="240"/>
          <w:marBottom w:val="0"/>
          <w:divBdr>
            <w:top w:val="none" w:sz="0" w:space="0" w:color="auto"/>
            <w:left w:val="none" w:sz="0" w:space="0" w:color="auto"/>
            <w:bottom w:val="none" w:sz="0" w:space="0" w:color="auto"/>
            <w:right w:val="none" w:sz="0" w:space="0" w:color="auto"/>
          </w:divBdr>
        </w:div>
        <w:div w:id="1461538029">
          <w:marLeft w:val="547"/>
          <w:marRight w:val="0"/>
          <w:marTop w:val="240"/>
          <w:marBottom w:val="0"/>
          <w:divBdr>
            <w:top w:val="none" w:sz="0" w:space="0" w:color="auto"/>
            <w:left w:val="none" w:sz="0" w:space="0" w:color="auto"/>
            <w:bottom w:val="none" w:sz="0" w:space="0" w:color="auto"/>
            <w:right w:val="none" w:sz="0" w:space="0" w:color="auto"/>
          </w:divBdr>
        </w:div>
      </w:divsChild>
    </w:div>
    <w:div w:id="837421298">
      <w:bodyDiv w:val="1"/>
      <w:marLeft w:val="0"/>
      <w:marRight w:val="0"/>
      <w:marTop w:val="0"/>
      <w:marBottom w:val="0"/>
      <w:divBdr>
        <w:top w:val="none" w:sz="0" w:space="0" w:color="auto"/>
        <w:left w:val="none" w:sz="0" w:space="0" w:color="auto"/>
        <w:bottom w:val="none" w:sz="0" w:space="0" w:color="auto"/>
        <w:right w:val="none" w:sz="0" w:space="0" w:color="auto"/>
      </w:divBdr>
    </w:div>
    <w:div w:id="995568273">
      <w:bodyDiv w:val="1"/>
      <w:marLeft w:val="0"/>
      <w:marRight w:val="0"/>
      <w:marTop w:val="0"/>
      <w:marBottom w:val="0"/>
      <w:divBdr>
        <w:top w:val="none" w:sz="0" w:space="0" w:color="auto"/>
        <w:left w:val="none" w:sz="0" w:space="0" w:color="auto"/>
        <w:bottom w:val="none" w:sz="0" w:space="0" w:color="auto"/>
        <w:right w:val="none" w:sz="0" w:space="0" w:color="auto"/>
      </w:divBdr>
    </w:div>
    <w:div w:id="997923022">
      <w:bodyDiv w:val="1"/>
      <w:marLeft w:val="0"/>
      <w:marRight w:val="0"/>
      <w:marTop w:val="0"/>
      <w:marBottom w:val="0"/>
      <w:divBdr>
        <w:top w:val="none" w:sz="0" w:space="0" w:color="auto"/>
        <w:left w:val="none" w:sz="0" w:space="0" w:color="auto"/>
        <w:bottom w:val="none" w:sz="0" w:space="0" w:color="auto"/>
        <w:right w:val="none" w:sz="0" w:space="0" w:color="auto"/>
      </w:divBdr>
    </w:div>
    <w:div w:id="1121613012">
      <w:bodyDiv w:val="1"/>
      <w:marLeft w:val="0"/>
      <w:marRight w:val="0"/>
      <w:marTop w:val="0"/>
      <w:marBottom w:val="0"/>
      <w:divBdr>
        <w:top w:val="none" w:sz="0" w:space="0" w:color="auto"/>
        <w:left w:val="none" w:sz="0" w:space="0" w:color="auto"/>
        <w:bottom w:val="none" w:sz="0" w:space="0" w:color="auto"/>
        <w:right w:val="none" w:sz="0" w:space="0" w:color="auto"/>
      </w:divBdr>
    </w:div>
    <w:div w:id="1206872130">
      <w:bodyDiv w:val="1"/>
      <w:marLeft w:val="0"/>
      <w:marRight w:val="0"/>
      <w:marTop w:val="0"/>
      <w:marBottom w:val="0"/>
      <w:divBdr>
        <w:top w:val="none" w:sz="0" w:space="0" w:color="auto"/>
        <w:left w:val="none" w:sz="0" w:space="0" w:color="auto"/>
        <w:bottom w:val="none" w:sz="0" w:space="0" w:color="auto"/>
        <w:right w:val="none" w:sz="0" w:space="0" w:color="auto"/>
      </w:divBdr>
    </w:div>
    <w:div w:id="1208955522">
      <w:bodyDiv w:val="1"/>
      <w:marLeft w:val="0"/>
      <w:marRight w:val="0"/>
      <w:marTop w:val="0"/>
      <w:marBottom w:val="0"/>
      <w:divBdr>
        <w:top w:val="none" w:sz="0" w:space="0" w:color="auto"/>
        <w:left w:val="none" w:sz="0" w:space="0" w:color="auto"/>
        <w:bottom w:val="none" w:sz="0" w:space="0" w:color="auto"/>
        <w:right w:val="none" w:sz="0" w:space="0" w:color="auto"/>
      </w:divBdr>
    </w:div>
    <w:div w:id="1219897257">
      <w:bodyDiv w:val="1"/>
      <w:marLeft w:val="0"/>
      <w:marRight w:val="0"/>
      <w:marTop w:val="0"/>
      <w:marBottom w:val="0"/>
      <w:divBdr>
        <w:top w:val="none" w:sz="0" w:space="0" w:color="auto"/>
        <w:left w:val="none" w:sz="0" w:space="0" w:color="auto"/>
        <w:bottom w:val="none" w:sz="0" w:space="0" w:color="auto"/>
        <w:right w:val="none" w:sz="0" w:space="0" w:color="auto"/>
      </w:divBdr>
    </w:div>
    <w:div w:id="1237087379">
      <w:bodyDiv w:val="1"/>
      <w:marLeft w:val="0"/>
      <w:marRight w:val="0"/>
      <w:marTop w:val="0"/>
      <w:marBottom w:val="0"/>
      <w:divBdr>
        <w:top w:val="none" w:sz="0" w:space="0" w:color="auto"/>
        <w:left w:val="none" w:sz="0" w:space="0" w:color="auto"/>
        <w:bottom w:val="none" w:sz="0" w:space="0" w:color="auto"/>
        <w:right w:val="none" w:sz="0" w:space="0" w:color="auto"/>
      </w:divBdr>
    </w:div>
    <w:div w:id="1252734882">
      <w:bodyDiv w:val="1"/>
      <w:marLeft w:val="0"/>
      <w:marRight w:val="0"/>
      <w:marTop w:val="0"/>
      <w:marBottom w:val="0"/>
      <w:divBdr>
        <w:top w:val="none" w:sz="0" w:space="0" w:color="auto"/>
        <w:left w:val="none" w:sz="0" w:space="0" w:color="auto"/>
        <w:bottom w:val="none" w:sz="0" w:space="0" w:color="auto"/>
        <w:right w:val="none" w:sz="0" w:space="0" w:color="auto"/>
      </w:divBdr>
    </w:div>
    <w:div w:id="1291589049">
      <w:bodyDiv w:val="1"/>
      <w:marLeft w:val="0"/>
      <w:marRight w:val="0"/>
      <w:marTop w:val="0"/>
      <w:marBottom w:val="0"/>
      <w:divBdr>
        <w:top w:val="none" w:sz="0" w:space="0" w:color="auto"/>
        <w:left w:val="none" w:sz="0" w:space="0" w:color="auto"/>
        <w:bottom w:val="none" w:sz="0" w:space="0" w:color="auto"/>
        <w:right w:val="none" w:sz="0" w:space="0" w:color="auto"/>
      </w:divBdr>
    </w:div>
    <w:div w:id="1334991064">
      <w:bodyDiv w:val="1"/>
      <w:marLeft w:val="0"/>
      <w:marRight w:val="0"/>
      <w:marTop w:val="0"/>
      <w:marBottom w:val="0"/>
      <w:divBdr>
        <w:top w:val="none" w:sz="0" w:space="0" w:color="auto"/>
        <w:left w:val="none" w:sz="0" w:space="0" w:color="auto"/>
        <w:bottom w:val="none" w:sz="0" w:space="0" w:color="auto"/>
        <w:right w:val="none" w:sz="0" w:space="0" w:color="auto"/>
      </w:divBdr>
    </w:div>
    <w:div w:id="1343556722">
      <w:bodyDiv w:val="1"/>
      <w:marLeft w:val="0"/>
      <w:marRight w:val="0"/>
      <w:marTop w:val="0"/>
      <w:marBottom w:val="0"/>
      <w:divBdr>
        <w:top w:val="none" w:sz="0" w:space="0" w:color="auto"/>
        <w:left w:val="none" w:sz="0" w:space="0" w:color="auto"/>
        <w:bottom w:val="none" w:sz="0" w:space="0" w:color="auto"/>
        <w:right w:val="none" w:sz="0" w:space="0" w:color="auto"/>
      </w:divBdr>
    </w:div>
    <w:div w:id="1351030699">
      <w:bodyDiv w:val="1"/>
      <w:marLeft w:val="0"/>
      <w:marRight w:val="0"/>
      <w:marTop w:val="0"/>
      <w:marBottom w:val="0"/>
      <w:divBdr>
        <w:top w:val="none" w:sz="0" w:space="0" w:color="auto"/>
        <w:left w:val="none" w:sz="0" w:space="0" w:color="auto"/>
        <w:bottom w:val="none" w:sz="0" w:space="0" w:color="auto"/>
        <w:right w:val="none" w:sz="0" w:space="0" w:color="auto"/>
      </w:divBdr>
    </w:div>
    <w:div w:id="1429698557">
      <w:bodyDiv w:val="1"/>
      <w:marLeft w:val="0"/>
      <w:marRight w:val="0"/>
      <w:marTop w:val="0"/>
      <w:marBottom w:val="0"/>
      <w:divBdr>
        <w:top w:val="none" w:sz="0" w:space="0" w:color="auto"/>
        <w:left w:val="none" w:sz="0" w:space="0" w:color="auto"/>
        <w:bottom w:val="none" w:sz="0" w:space="0" w:color="auto"/>
        <w:right w:val="none" w:sz="0" w:space="0" w:color="auto"/>
      </w:divBdr>
    </w:div>
    <w:div w:id="1719163440">
      <w:bodyDiv w:val="1"/>
      <w:marLeft w:val="0"/>
      <w:marRight w:val="0"/>
      <w:marTop w:val="0"/>
      <w:marBottom w:val="0"/>
      <w:divBdr>
        <w:top w:val="none" w:sz="0" w:space="0" w:color="auto"/>
        <w:left w:val="none" w:sz="0" w:space="0" w:color="auto"/>
        <w:bottom w:val="none" w:sz="0" w:space="0" w:color="auto"/>
        <w:right w:val="none" w:sz="0" w:space="0" w:color="auto"/>
      </w:divBdr>
    </w:div>
    <w:div w:id="1720858045">
      <w:bodyDiv w:val="1"/>
      <w:marLeft w:val="0"/>
      <w:marRight w:val="0"/>
      <w:marTop w:val="0"/>
      <w:marBottom w:val="0"/>
      <w:divBdr>
        <w:top w:val="none" w:sz="0" w:space="0" w:color="auto"/>
        <w:left w:val="none" w:sz="0" w:space="0" w:color="auto"/>
        <w:bottom w:val="none" w:sz="0" w:space="0" w:color="auto"/>
        <w:right w:val="none" w:sz="0" w:space="0" w:color="auto"/>
      </w:divBdr>
    </w:div>
    <w:div w:id="1724448908">
      <w:bodyDiv w:val="1"/>
      <w:marLeft w:val="0"/>
      <w:marRight w:val="0"/>
      <w:marTop w:val="0"/>
      <w:marBottom w:val="0"/>
      <w:divBdr>
        <w:top w:val="none" w:sz="0" w:space="0" w:color="auto"/>
        <w:left w:val="none" w:sz="0" w:space="0" w:color="auto"/>
        <w:bottom w:val="none" w:sz="0" w:space="0" w:color="auto"/>
        <w:right w:val="none" w:sz="0" w:space="0" w:color="auto"/>
      </w:divBdr>
    </w:div>
    <w:div w:id="1728337224">
      <w:bodyDiv w:val="1"/>
      <w:marLeft w:val="0"/>
      <w:marRight w:val="0"/>
      <w:marTop w:val="0"/>
      <w:marBottom w:val="0"/>
      <w:divBdr>
        <w:top w:val="none" w:sz="0" w:space="0" w:color="auto"/>
        <w:left w:val="none" w:sz="0" w:space="0" w:color="auto"/>
        <w:bottom w:val="none" w:sz="0" w:space="0" w:color="auto"/>
        <w:right w:val="none" w:sz="0" w:space="0" w:color="auto"/>
      </w:divBdr>
    </w:div>
    <w:div w:id="1832915038">
      <w:bodyDiv w:val="1"/>
      <w:marLeft w:val="0"/>
      <w:marRight w:val="0"/>
      <w:marTop w:val="0"/>
      <w:marBottom w:val="0"/>
      <w:divBdr>
        <w:top w:val="none" w:sz="0" w:space="0" w:color="auto"/>
        <w:left w:val="none" w:sz="0" w:space="0" w:color="auto"/>
        <w:bottom w:val="none" w:sz="0" w:space="0" w:color="auto"/>
        <w:right w:val="none" w:sz="0" w:space="0" w:color="auto"/>
      </w:divBdr>
    </w:div>
    <w:div w:id="1869685123">
      <w:bodyDiv w:val="1"/>
      <w:marLeft w:val="0"/>
      <w:marRight w:val="0"/>
      <w:marTop w:val="0"/>
      <w:marBottom w:val="0"/>
      <w:divBdr>
        <w:top w:val="none" w:sz="0" w:space="0" w:color="auto"/>
        <w:left w:val="none" w:sz="0" w:space="0" w:color="auto"/>
        <w:bottom w:val="none" w:sz="0" w:space="0" w:color="auto"/>
        <w:right w:val="none" w:sz="0" w:space="0" w:color="auto"/>
      </w:divBdr>
      <w:divsChild>
        <w:div w:id="1316183473">
          <w:marLeft w:val="446"/>
          <w:marRight w:val="0"/>
          <w:marTop w:val="0"/>
          <w:marBottom w:val="0"/>
          <w:divBdr>
            <w:top w:val="none" w:sz="0" w:space="0" w:color="auto"/>
            <w:left w:val="none" w:sz="0" w:space="0" w:color="auto"/>
            <w:bottom w:val="none" w:sz="0" w:space="0" w:color="auto"/>
            <w:right w:val="none" w:sz="0" w:space="0" w:color="auto"/>
          </w:divBdr>
        </w:div>
      </w:divsChild>
    </w:div>
    <w:div w:id="1886402403">
      <w:bodyDiv w:val="1"/>
      <w:marLeft w:val="0"/>
      <w:marRight w:val="0"/>
      <w:marTop w:val="0"/>
      <w:marBottom w:val="0"/>
      <w:divBdr>
        <w:top w:val="none" w:sz="0" w:space="0" w:color="auto"/>
        <w:left w:val="none" w:sz="0" w:space="0" w:color="auto"/>
        <w:bottom w:val="none" w:sz="0" w:space="0" w:color="auto"/>
        <w:right w:val="none" w:sz="0" w:space="0" w:color="auto"/>
      </w:divBdr>
    </w:div>
    <w:div w:id="1901359689">
      <w:bodyDiv w:val="1"/>
      <w:marLeft w:val="0"/>
      <w:marRight w:val="0"/>
      <w:marTop w:val="0"/>
      <w:marBottom w:val="0"/>
      <w:divBdr>
        <w:top w:val="none" w:sz="0" w:space="0" w:color="auto"/>
        <w:left w:val="none" w:sz="0" w:space="0" w:color="auto"/>
        <w:bottom w:val="none" w:sz="0" w:space="0" w:color="auto"/>
        <w:right w:val="none" w:sz="0" w:space="0" w:color="auto"/>
      </w:divBdr>
      <w:divsChild>
        <w:div w:id="549003914">
          <w:marLeft w:val="0"/>
          <w:marRight w:val="165"/>
          <w:marTop w:val="600"/>
          <w:marBottom w:val="600"/>
          <w:divBdr>
            <w:top w:val="none" w:sz="0" w:space="0" w:color="auto"/>
            <w:left w:val="none" w:sz="0" w:space="0" w:color="auto"/>
            <w:bottom w:val="none" w:sz="0" w:space="0" w:color="auto"/>
            <w:right w:val="none" w:sz="0" w:space="0" w:color="auto"/>
          </w:divBdr>
        </w:div>
        <w:div w:id="1953121658">
          <w:marLeft w:val="165"/>
          <w:marRight w:val="0"/>
          <w:marTop w:val="600"/>
          <w:marBottom w:val="0"/>
          <w:divBdr>
            <w:top w:val="none" w:sz="0" w:space="0" w:color="auto"/>
            <w:left w:val="none" w:sz="0" w:space="0" w:color="auto"/>
            <w:bottom w:val="none" w:sz="0" w:space="0" w:color="auto"/>
            <w:right w:val="none" w:sz="0" w:space="0" w:color="auto"/>
          </w:divBdr>
          <w:divsChild>
            <w:div w:id="303313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38903931">
      <w:bodyDiv w:val="1"/>
      <w:marLeft w:val="0"/>
      <w:marRight w:val="0"/>
      <w:marTop w:val="0"/>
      <w:marBottom w:val="0"/>
      <w:divBdr>
        <w:top w:val="none" w:sz="0" w:space="0" w:color="auto"/>
        <w:left w:val="none" w:sz="0" w:space="0" w:color="auto"/>
        <w:bottom w:val="none" w:sz="0" w:space="0" w:color="auto"/>
        <w:right w:val="none" w:sz="0" w:space="0" w:color="auto"/>
      </w:divBdr>
    </w:div>
    <w:div w:id="2099129540">
      <w:bodyDiv w:val="1"/>
      <w:marLeft w:val="0"/>
      <w:marRight w:val="0"/>
      <w:marTop w:val="0"/>
      <w:marBottom w:val="0"/>
      <w:divBdr>
        <w:top w:val="none" w:sz="0" w:space="0" w:color="auto"/>
        <w:left w:val="none" w:sz="0" w:space="0" w:color="auto"/>
        <w:bottom w:val="none" w:sz="0" w:space="0" w:color="auto"/>
        <w:right w:val="none" w:sz="0" w:space="0" w:color="auto"/>
      </w:divBdr>
    </w:div>
    <w:div w:id="211092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europeanfiresafetyalliance.org/our-focus/" TargetMode="External"/><Relationship Id="rId2" Type="http://schemas.openxmlformats.org/officeDocument/2006/relationships/hyperlink" Target="http://flameretardantsguide.com/flame-retardants-applications/electronics-and-electrical-equipment/" TargetMode="External"/><Relationship Id="rId1" Type="http://schemas.openxmlformats.org/officeDocument/2006/relationships/hyperlink" Target="https://www.norden.org/en/publication/circular-plastics-electrical-and-electronic-equipment" TargetMode="External"/><Relationship Id="rId5" Type="http://schemas.openxmlformats.org/officeDocument/2006/relationships/hyperlink" Target="https://www.eera-recyclers.com/files/eera-bfrs-folder-online.pdf" TargetMode="External"/><Relationship Id="rId4" Type="http://schemas.openxmlformats.org/officeDocument/2006/relationships/hyperlink" Target="https://www.bsef.com/wp-content/uploads/2020/11/Study-on-the-impact-of-Brominated-Flame-Retardants-BFRs-on-WEEE-plastics-recycling-by-Sofies-Nov-20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0AFC-AE8B-490B-A907-3A6DA826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1026</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BACHAREL Nuno</dc:creator>
  <cp:keywords>INTERNAL;</cp:keywords>
  <cp:lastModifiedBy>BACHAREL Nuno</cp:lastModifiedBy>
  <cp:revision>6</cp:revision>
  <cp:lastPrinted>2021-12-16T12:59:00Z</cp:lastPrinted>
  <dcterms:created xsi:type="dcterms:W3CDTF">2022-01-21T15:45:00Z</dcterms:created>
  <dcterms:modified xsi:type="dcterms:W3CDTF">2022-01-21T16:02:00Z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INTERNAL</vt:lpwstr>
  </property>
</Properties>
</file>